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FCA8B" w14:textId="77777777" w:rsidR="00A908AC" w:rsidRDefault="00A908AC">
      <w:pPr>
        <w:pStyle w:val="Standard"/>
        <w:jc w:val="both"/>
        <w:rPr>
          <w:rFonts w:ascii="Verdana" w:eastAsia="Times New Roman" w:hAnsi="Verdana" w:cs="Times New Roman"/>
          <w:b/>
          <w:sz w:val="22"/>
          <w:szCs w:val="22"/>
        </w:rPr>
      </w:pPr>
    </w:p>
    <w:p w14:paraId="5229F4B0" w14:textId="77777777" w:rsidR="00A908AC" w:rsidRDefault="00A908AC">
      <w:pPr>
        <w:pStyle w:val="Standard"/>
        <w:jc w:val="center"/>
        <w:rPr>
          <w:rFonts w:ascii="Verdana" w:eastAsia="Times New Roman" w:hAnsi="Verdana" w:cs="Verdana"/>
          <w:b/>
          <w:spacing w:val="-6"/>
          <w:sz w:val="22"/>
          <w:szCs w:val="22"/>
        </w:rPr>
      </w:pPr>
      <w:r>
        <w:rPr>
          <w:rFonts w:ascii="Verdana" w:eastAsia="Times New Roman" w:hAnsi="Verdana" w:cs="Verdana"/>
          <w:b/>
          <w:spacing w:val="-6"/>
          <w:sz w:val="22"/>
          <w:szCs w:val="22"/>
        </w:rPr>
        <w:t>Katowicka Specjalna Strefa Ekonomiczna</w:t>
      </w:r>
    </w:p>
    <w:p w14:paraId="2E9CD4A3" w14:textId="77777777" w:rsidR="00A908AC" w:rsidRDefault="00A908AC">
      <w:pPr>
        <w:pStyle w:val="Standard"/>
        <w:jc w:val="center"/>
        <w:rPr>
          <w:rFonts w:ascii="Verdana" w:eastAsia="Times New Roman" w:hAnsi="Verdana" w:cs="Verdana"/>
          <w:b/>
          <w:spacing w:val="-6"/>
          <w:sz w:val="22"/>
          <w:szCs w:val="22"/>
        </w:rPr>
      </w:pPr>
      <w:r>
        <w:rPr>
          <w:rFonts w:ascii="Verdana" w:eastAsia="Times New Roman" w:hAnsi="Verdana" w:cs="Verdana"/>
          <w:b/>
          <w:spacing w:val="-6"/>
          <w:sz w:val="22"/>
          <w:szCs w:val="22"/>
        </w:rPr>
        <w:t>Spółka Akcyjna w Katowicach</w:t>
      </w:r>
    </w:p>
    <w:p w14:paraId="51963CBE" w14:textId="77777777" w:rsidR="00A908AC" w:rsidRDefault="00A908AC">
      <w:pPr>
        <w:pStyle w:val="Standard"/>
        <w:jc w:val="center"/>
        <w:rPr>
          <w:rFonts w:ascii="Verdana" w:eastAsia="Times New Roman" w:hAnsi="Verdana" w:cs="Verdana"/>
          <w:b/>
          <w:spacing w:val="-6"/>
          <w:sz w:val="22"/>
          <w:szCs w:val="22"/>
        </w:rPr>
      </w:pPr>
      <w:r>
        <w:rPr>
          <w:rFonts w:ascii="Verdana" w:eastAsia="Times New Roman" w:hAnsi="Verdana" w:cs="Verdana"/>
          <w:b/>
          <w:spacing w:val="-6"/>
          <w:sz w:val="22"/>
          <w:szCs w:val="22"/>
        </w:rPr>
        <w:t>40-026 Katowice, ul. Wojewódzka 42</w:t>
      </w:r>
    </w:p>
    <w:p w14:paraId="0BA52276" w14:textId="77777777" w:rsidR="00A908AC" w:rsidRDefault="00A908AC">
      <w:pPr>
        <w:pStyle w:val="Standard"/>
        <w:jc w:val="center"/>
        <w:rPr>
          <w:rFonts w:ascii="Verdana" w:eastAsia="Times New Roman" w:hAnsi="Verdana" w:cs="Verdana"/>
          <w:b/>
          <w:spacing w:val="-6"/>
          <w:sz w:val="22"/>
          <w:szCs w:val="22"/>
        </w:rPr>
      </w:pPr>
      <w:r>
        <w:rPr>
          <w:rFonts w:ascii="Verdana" w:eastAsia="Times New Roman" w:hAnsi="Verdana" w:cs="Verdana"/>
          <w:b/>
          <w:spacing w:val="-6"/>
          <w:sz w:val="22"/>
          <w:szCs w:val="22"/>
        </w:rPr>
        <w:t>tel. (+48 32) 2510-736</w:t>
      </w:r>
    </w:p>
    <w:p w14:paraId="5927CFC0" w14:textId="77777777" w:rsidR="00A908AC" w:rsidRDefault="00A908AC">
      <w:pPr>
        <w:pStyle w:val="Standard"/>
        <w:jc w:val="center"/>
        <w:rPr>
          <w:rFonts w:ascii="Verdana" w:eastAsia="Times New Roman" w:hAnsi="Verdana" w:cs="Times New Roman" w:hint="eastAsia"/>
          <w:sz w:val="22"/>
          <w:szCs w:val="22"/>
        </w:rPr>
      </w:pPr>
      <w:r>
        <w:rPr>
          <w:rFonts w:ascii="Verdana" w:eastAsia="Times New Roman" w:hAnsi="Verdana" w:cs="Verdana"/>
          <w:b/>
          <w:spacing w:val="-6"/>
          <w:sz w:val="22"/>
          <w:szCs w:val="22"/>
        </w:rPr>
        <w:t>jako zarządzający Specjalną Strefą Ekonomiczną</w:t>
      </w:r>
    </w:p>
    <w:p w14:paraId="6759CC25" w14:textId="77777777" w:rsidR="00A908AC" w:rsidRDefault="00A908AC">
      <w:pPr>
        <w:pStyle w:val="Standard"/>
        <w:jc w:val="center"/>
        <w:rPr>
          <w:rFonts w:ascii="Verdana" w:eastAsia="Times New Roman" w:hAnsi="Verdana" w:cs="Times New Roman" w:hint="eastAsia"/>
          <w:sz w:val="22"/>
          <w:szCs w:val="22"/>
        </w:rPr>
      </w:pPr>
    </w:p>
    <w:p w14:paraId="7AF987A5" w14:textId="77777777" w:rsidR="00A908AC" w:rsidRDefault="00A908AC">
      <w:pPr>
        <w:pStyle w:val="Standard"/>
        <w:jc w:val="both"/>
        <w:rPr>
          <w:rFonts w:ascii="Verdana" w:eastAsia="Times New Roman" w:hAnsi="Verdana" w:cs="Times New Roman" w:hint="eastAsia"/>
          <w:sz w:val="22"/>
          <w:szCs w:val="22"/>
        </w:rPr>
      </w:pPr>
    </w:p>
    <w:p w14:paraId="51D5CDD6" w14:textId="77777777" w:rsidR="00A908AC" w:rsidRDefault="00A908AC">
      <w:pPr>
        <w:pStyle w:val="Standard"/>
        <w:jc w:val="both"/>
        <w:rPr>
          <w:rFonts w:ascii="Verdana" w:eastAsia="Times New Roman" w:hAnsi="Verdana" w:cs="Verdana" w:hint="eastAsia"/>
          <w:b/>
          <w:bCs/>
          <w:spacing w:val="-6"/>
          <w:sz w:val="22"/>
          <w:szCs w:val="22"/>
        </w:rPr>
      </w:pPr>
      <w:r>
        <w:rPr>
          <w:rFonts w:ascii="Verdana" w:eastAsia="Times New Roman" w:hAnsi="Verdana" w:cs="Verdana"/>
          <w:b/>
          <w:bCs/>
          <w:spacing w:val="-6"/>
          <w:sz w:val="22"/>
          <w:szCs w:val="22"/>
        </w:rPr>
        <w:t xml:space="preserve">działając w imieniu Prezydenta Miasta Jaworzna na podstawie art. 12 ustawy z dnia 10 maja 2018 r. o wspieraniu nowych inwestycji </w:t>
      </w:r>
      <w:r>
        <w:rPr>
          <w:rFonts w:ascii="Verdana" w:hAnsi="Verdana" w:cs="Verdana"/>
          <w:b/>
          <w:bCs/>
          <w:sz w:val="22"/>
          <w:szCs w:val="22"/>
        </w:rPr>
        <w:t>(</w:t>
      </w:r>
      <w:proofErr w:type="spellStart"/>
      <w:r>
        <w:rPr>
          <w:rFonts w:ascii="Verdana" w:hAnsi="Verdana" w:cs="Verdana"/>
          <w:b/>
          <w:bCs/>
          <w:sz w:val="22"/>
          <w:szCs w:val="22"/>
        </w:rPr>
        <w:t>t.j</w:t>
      </w:r>
      <w:proofErr w:type="spellEnd"/>
      <w:r>
        <w:rPr>
          <w:rFonts w:ascii="Verdana" w:hAnsi="Verdana" w:cs="Verdana"/>
          <w:b/>
          <w:bCs/>
          <w:sz w:val="22"/>
          <w:szCs w:val="22"/>
        </w:rPr>
        <w:t xml:space="preserve">. Dz. U. z 2024 r., poz. 459) i </w:t>
      </w:r>
      <w:r>
        <w:rPr>
          <w:rFonts w:ascii="Verdana" w:eastAsia="Times New Roman" w:hAnsi="Verdana" w:cs="Verdana"/>
          <w:b/>
          <w:bCs/>
          <w:spacing w:val="-6"/>
          <w:sz w:val="22"/>
          <w:szCs w:val="22"/>
        </w:rPr>
        <w:t xml:space="preserve"> w oparciu o zarządzenie Prezydenta Miasta Jaworzna nr ON.0050.466.2024 z 19 grudnia 2024 r., ogłasza:</w:t>
      </w:r>
    </w:p>
    <w:p w14:paraId="12465F31" w14:textId="77777777" w:rsidR="00A908AC" w:rsidRDefault="00A908AC">
      <w:pPr>
        <w:pStyle w:val="Standard"/>
        <w:jc w:val="both"/>
        <w:rPr>
          <w:rFonts w:ascii="Verdana" w:eastAsia="Times New Roman" w:hAnsi="Verdana" w:cs="Verdana" w:hint="eastAsia"/>
          <w:b/>
          <w:bCs/>
          <w:spacing w:val="-6"/>
          <w:sz w:val="22"/>
          <w:szCs w:val="22"/>
        </w:rPr>
      </w:pPr>
    </w:p>
    <w:p w14:paraId="30BE831D" w14:textId="77777777" w:rsidR="00A908AC" w:rsidRDefault="00A908AC">
      <w:pPr>
        <w:pStyle w:val="Standard"/>
        <w:spacing w:line="288" w:lineRule="auto"/>
        <w:jc w:val="center"/>
        <w:rPr>
          <w:rFonts w:ascii="Verdana" w:eastAsia="Times New Roman" w:hAnsi="Verdana" w:cs="Verdana"/>
          <w:b/>
          <w:bCs/>
          <w:spacing w:val="-6"/>
          <w:sz w:val="22"/>
          <w:szCs w:val="22"/>
        </w:rPr>
      </w:pPr>
      <w:r>
        <w:rPr>
          <w:rFonts w:ascii="Verdana" w:eastAsia="Times New Roman" w:hAnsi="Verdana" w:cs="Verdana"/>
          <w:b/>
          <w:bCs/>
          <w:spacing w:val="-6"/>
          <w:sz w:val="22"/>
          <w:szCs w:val="22"/>
        </w:rPr>
        <w:t>I przetarg pisemny nieograniczony</w:t>
      </w:r>
    </w:p>
    <w:p w14:paraId="17B8BEBD" w14:textId="77777777" w:rsidR="00A908AC" w:rsidRDefault="00A908AC">
      <w:pPr>
        <w:pStyle w:val="Standard"/>
        <w:spacing w:line="288" w:lineRule="auto"/>
        <w:jc w:val="center"/>
        <w:rPr>
          <w:rFonts w:ascii="Verdana" w:eastAsia="Times New Roman" w:hAnsi="Verdana" w:cs="Verdana"/>
          <w:b/>
          <w:bCs/>
          <w:spacing w:val="-6"/>
          <w:sz w:val="22"/>
          <w:szCs w:val="22"/>
        </w:rPr>
      </w:pPr>
      <w:r>
        <w:rPr>
          <w:rFonts w:ascii="Verdana" w:eastAsia="Times New Roman" w:hAnsi="Verdana" w:cs="Verdana"/>
          <w:b/>
          <w:bCs/>
          <w:spacing w:val="-6"/>
          <w:sz w:val="22"/>
          <w:szCs w:val="22"/>
        </w:rPr>
        <w:t>na sprzedaż prawa własności nieruchomości gruntowej</w:t>
      </w:r>
    </w:p>
    <w:p w14:paraId="257A0BEA" w14:textId="77777777" w:rsidR="00A908AC" w:rsidRDefault="00A908AC">
      <w:pPr>
        <w:pStyle w:val="Standard"/>
        <w:spacing w:after="240" w:line="288" w:lineRule="auto"/>
        <w:jc w:val="center"/>
        <w:rPr>
          <w:rFonts w:ascii="Verdana" w:eastAsia="Times New Roman" w:hAnsi="Verdana" w:cs="Verdana"/>
          <w:b/>
          <w:bCs/>
          <w:spacing w:val="-6"/>
          <w:sz w:val="22"/>
          <w:szCs w:val="22"/>
        </w:rPr>
      </w:pPr>
      <w:r>
        <w:rPr>
          <w:rFonts w:ascii="Verdana" w:eastAsia="Times New Roman" w:hAnsi="Verdana" w:cs="Verdana"/>
          <w:b/>
          <w:bCs/>
          <w:spacing w:val="-6"/>
          <w:sz w:val="22"/>
          <w:szCs w:val="22"/>
        </w:rPr>
        <w:t>stanowiącej własność Gminy Miejskiej Jaworzno</w:t>
      </w:r>
    </w:p>
    <w:p w14:paraId="5627CCC6" w14:textId="77777777" w:rsidR="00A908AC" w:rsidRDefault="00A908AC">
      <w:pPr>
        <w:pStyle w:val="Standard"/>
        <w:numPr>
          <w:ilvl w:val="0"/>
          <w:numId w:val="7"/>
        </w:numPr>
        <w:spacing w:before="120"/>
        <w:ind w:left="357" w:hanging="357"/>
        <w:jc w:val="both"/>
        <w:rPr>
          <w:rFonts w:ascii="Verdana" w:eastAsia="Times New Roman" w:hAnsi="Verdana" w:cs="Verdana"/>
          <w:b/>
          <w:bCs/>
          <w:spacing w:val="-6"/>
          <w:sz w:val="22"/>
          <w:szCs w:val="22"/>
        </w:rPr>
      </w:pPr>
      <w:r>
        <w:rPr>
          <w:rFonts w:ascii="Verdana" w:eastAsia="Times New Roman" w:hAnsi="Verdana" w:cs="Verdana"/>
          <w:b/>
          <w:bCs/>
          <w:spacing w:val="-6"/>
          <w:sz w:val="22"/>
          <w:szCs w:val="22"/>
        </w:rPr>
        <w:t>Oznaczenie nieruchomości:</w:t>
      </w:r>
      <w:r>
        <w:rPr>
          <w:rFonts w:ascii="Verdana" w:eastAsia="Times New Roman" w:hAnsi="Verdana" w:cs="Verdana"/>
          <w:spacing w:val="-6"/>
          <w:sz w:val="22"/>
          <w:szCs w:val="22"/>
        </w:rPr>
        <w:t xml:space="preserve"> działka gminna</w:t>
      </w:r>
      <w:r>
        <w:rPr>
          <w:rFonts w:ascii="Verdana" w:eastAsia="Times New Roman" w:hAnsi="Verdana" w:cs="Verdana"/>
          <w:b/>
          <w:bCs/>
          <w:spacing w:val="-6"/>
          <w:sz w:val="22"/>
          <w:szCs w:val="22"/>
        </w:rPr>
        <w:t xml:space="preserve"> nr 4562 o powierzchni 1,1962 ha w </w:t>
      </w:r>
      <w:proofErr w:type="spellStart"/>
      <w:r>
        <w:rPr>
          <w:rFonts w:ascii="Verdana" w:eastAsia="Times New Roman" w:hAnsi="Verdana" w:cs="Verdana"/>
          <w:b/>
          <w:bCs/>
          <w:spacing w:val="-6"/>
          <w:sz w:val="22"/>
          <w:szCs w:val="22"/>
        </w:rPr>
        <w:t>obr</w:t>
      </w:r>
      <w:proofErr w:type="spellEnd"/>
      <w:r>
        <w:rPr>
          <w:rFonts w:ascii="Verdana" w:eastAsia="Times New Roman" w:hAnsi="Verdana" w:cs="Verdana"/>
          <w:b/>
          <w:bCs/>
          <w:spacing w:val="-6"/>
          <w:sz w:val="22"/>
          <w:szCs w:val="22"/>
        </w:rPr>
        <w:t>. geod. 1026 m. Jaworzna</w:t>
      </w:r>
      <w:r>
        <w:rPr>
          <w:rFonts w:ascii="Verdana" w:eastAsia="Times New Roman" w:hAnsi="Verdana" w:cs="Verdana"/>
          <w:spacing w:val="-6"/>
          <w:sz w:val="22"/>
          <w:szCs w:val="22"/>
        </w:rPr>
        <w:t xml:space="preserve">, położona w rejonie ul. Niemcewicza w Jaworznie, objęta księgą wieczystą </w:t>
      </w:r>
      <w:r>
        <w:rPr>
          <w:rFonts w:ascii="Verdana" w:eastAsia="Times New Roman" w:hAnsi="Verdana" w:cs="Verdana"/>
          <w:b/>
          <w:bCs/>
          <w:spacing w:val="-6"/>
          <w:sz w:val="22"/>
          <w:szCs w:val="22"/>
        </w:rPr>
        <w:t>Nr KA1J/00032896</w:t>
      </w:r>
      <w:r>
        <w:rPr>
          <w:rFonts w:ascii="Verdana" w:eastAsia="Times New Roman" w:hAnsi="Verdana" w:cs="Verdana"/>
          <w:b/>
          <w:bCs/>
          <w:spacing w:val="-6"/>
          <w:sz w:val="22"/>
          <w:szCs w:val="22"/>
        </w:rPr>
        <w:t>/1</w:t>
      </w:r>
      <w:r>
        <w:rPr>
          <w:rFonts w:ascii="Verdana" w:eastAsia="Times New Roman" w:hAnsi="Verdana" w:cs="Verdana"/>
          <w:spacing w:val="-6"/>
          <w:sz w:val="22"/>
          <w:szCs w:val="22"/>
        </w:rPr>
        <w:t>, prowadzoną w Sądzie Rejonowym w Jaworznie – Wydziale V Ksiąg Wieczystych.</w:t>
      </w:r>
    </w:p>
    <w:p w14:paraId="4FE7ADAF" w14:textId="77777777" w:rsidR="00A908AC" w:rsidRDefault="00A908AC">
      <w:pPr>
        <w:pStyle w:val="Standard"/>
        <w:numPr>
          <w:ilvl w:val="0"/>
          <w:numId w:val="7"/>
        </w:numPr>
        <w:ind w:left="357" w:hanging="357"/>
        <w:jc w:val="both"/>
        <w:rPr>
          <w:rFonts w:ascii="Verdana" w:eastAsia="Tahoma" w:hAnsi="Verdana" w:cs="Arial Narrow"/>
          <w:b/>
          <w:bCs/>
          <w:sz w:val="22"/>
          <w:szCs w:val="22"/>
          <w:u w:val="single"/>
        </w:rPr>
      </w:pPr>
      <w:r>
        <w:rPr>
          <w:rFonts w:ascii="Verdana" w:eastAsia="Times New Roman" w:hAnsi="Verdana" w:cs="Verdana"/>
          <w:b/>
          <w:bCs/>
          <w:spacing w:val="-6"/>
          <w:sz w:val="22"/>
          <w:szCs w:val="22"/>
        </w:rPr>
        <w:t>Opis nieruchomości:</w:t>
      </w:r>
      <w:r>
        <w:rPr>
          <w:rFonts w:ascii="Verdana" w:eastAsia="Times New Roman" w:hAnsi="Verdana" w:cs="Verdana"/>
          <w:spacing w:val="-6"/>
          <w:sz w:val="22"/>
          <w:szCs w:val="22"/>
        </w:rPr>
        <w:t xml:space="preserve"> </w:t>
      </w:r>
      <w:r>
        <w:rPr>
          <w:rFonts w:ascii="Verdana" w:eastAsia="Tahoma" w:hAnsi="Verdana" w:cs="Arial Narrow"/>
          <w:sz w:val="22"/>
          <w:szCs w:val="22"/>
        </w:rPr>
        <w:t xml:space="preserve">nieruchomość gruntowa niezabudowana, niezagospodarowana, o kształcie nieregularnym, porośnięta  drzewami i krzakami. Teren działki o zróżnicowanej wysokości; występują skarpy – działka wymaga makroniwelacji. Najbliższe otoczenie działki stanowią tereny zabudowy usługowej, przemysłowo-usługowej, tereny zadrzewione. W dalszej odległości znajduje się zabudowa mieszkaniowa jednorodzinna i wielorodzinna, obiekty użyteczności publicznej, zabudowa sakralna, obiekty oświatowe i usługowo-handlowe. Działka położona </w:t>
      </w:r>
      <w:r>
        <w:rPr>
          <w:rFonts w:ascii="Verdana" w:eastAsia="Tahoma" w:hAnsi="Verdana" w:cs="Arial Narrow"/>
          <w:sz w:val="22"/>
          <w:szCs w:val="22"/>
        </w:rPr>
        <w:t>w rejonie ul. Niemcewicza o nawierzchni asfaltobetonowej, obecnie nie posiada bezpośredniego dostępu do drogi publicznej.</w:t>
      </w:r>
    </w:p>
    <w:p w14:paraId="05FEDFAE" w14:textId="77777777" w:rsidR="00A908AC" w:rsidRDefault="00A908AC">
      <w:pPr>
        <w:pStyle w:val="Standard"/>
        <w:ind w:left="357"/>
        <w:jc w:val="both"/>
        <w:rPr>
          <w:rFonts w:ascii="Verdana" w:eastAsia="Tahoma" w:hAnsi="Verdana" w:cs="Arial Narrow"/>
          <w:sz w:val="22"/>
          <w:szCs w:val="22"/>
        </w:rPr>
      </w:pPr>
      <w:r>
        <w:rPr>
          <w:rFonts w:ascii="Verdana" w:eastAsia="Tahoma" w:hAnsi="Verdana" w:cs="Arial Narrow"/>
          <w:b/>
          <w:bCs/>
          <w:sz w:val="22"/>
          <w:szCs w:val="22"/>
          <w:u w:val="single"/>
        </w:rPr>
        <w:t>Miejski Zarząd Dróg i Mostów:</w:t>
      </w:r>
      <w:r>
        <w:rPr>
          <w:rFonts w:ascii="Verdana" w:eastAsia="Tahoma" w:hAnsi="Verdana" w:cs="Arial Narrow"/>
          <w:sz w:val="22"/>
          <w:szCs w:val="22"/>
        </w:rPr>
        <w:t xml:space="preserve"> aby możliwe było skomunikowanie przedmiotowego terenu, koniecznym jest wykonanie zjazdu jako czwartego wlotu na skrzyżowanie drogi powiatowej ul. Niemcewicza z drogą gminną.</w:t>
      </w:r>
    </w:p>
    <w:p w14:paraId="1DD7C62B" w14:textId="77777777" w:rsidR="00A908AC" w:rsidRDefault="00A908AC">
      <w:pPr>
        <w:pStyle w:val="Standard"/>
        <w:ind w:left="357"/>
        <w:jc w:val="both"/>
        <w:rPr>
          <w:rFonts w:ascii="Verdana" w:eastAsia="Tahoma" w:hAnsi="Verdana" w:cs="Arial Narrow"/>
          <w:sz w:val="22"/>
          <w:szCs w:val="22"/>
        </w:rPr>
      </w:pPr>
      <w:r>
        <w:rPr>
          <w:rFonts w:ascii="Verdana" w:eastAsia="Tahoma" w:hAnsi="Verdana" w:cs="Arial Narrow"/>
          <w:sz w:val="22"/>
          <w:szCs w:val="22"/>
        </w:rPr>
        <w:t xml:space="preserve">Przez działkę przebiega kolidujące uzbrojenie terenu w postaci kanalizacji upustowej o średnicy 400 mm, odprowadzająca nadmiar wody ze zbiornika retencyjnego do rowu odwadniającego tereny hałdy wraz ze strefą ochronną, znacznie utrudniające optymalne zagospodarowanie działki. Nabywca nieruchomości zobowiązany będzie do ustanowienia na </w:t>
      </w:r>
      <w:r>
        <w:rPr>
          <w:rFonts w:ascii="Verdana" w:eastAsia="Tahoma" w:hAnsi="Verdana" w:cs="Arial Narrow"/>
          <w:sz w:val="22"/>
          <w:szCs w:val="22"/>
        </w:rPr>
        <w:t xml:space="preserve">rzecz Gminy Miasta Jaworzna nieodpłatnej służebności </w:t>
      </w:r>
      <w:proofErr w:type="spellStart"/>
      <w:r>
        <w:rPr>
          <w:rFonts w:ascii="Verdana" w:eastAsia="Tahoma" w:hAnsi="Verdana" w:cs="Arial Narrow"/>
          <w:sz w:val="22"/>
          <w:szCs w:val="22"/>
        </w:rPr>
        <w:t>przesyłu</w:t>
      </w:r>
      <w:proofErr w:type="spellEnd"/>
      <w:r>
        <w:rPr>
          <w:rFonts w:ascii="Verdana" w:eastAsia="Tahoma" w:hAnsi="Verdana" w:cs="Arial Narrow"/>
          <w:sz w:val="22"/>
          <w:szCs w:val="22"/>
        </w:rPr>
        <w:t xml:space="preserve"> na przedmiotowej nieruchomości polegającej na eksploatacji infrastruktury odwadniającej stanowiącej własność Gminy, a także na nieograniczonym i bezpłatnym prawie dostępu do niej, wraz z niezbędnym sprzętem, w celu modernizacji, przebudowy i rozbudowy, w tym wymiany, jak również konserwacji, przeprowadzania remontów, usuwania awarii, dokonywania kontroli, przeglądów oraz ewentualnej likwidacji i demontażu urządzeń. </w:t>
      </w:r>
    </w:p>
    <w:p w14:paraId="79DA1CAF" w14:textId="77777777" w:rsidR="00A908AC" w:rsidRDefault="00A908AC">
      <w:pPr>
        <w:pStyle w:val="Standard"/>
        <w:ind w:left="357"/>
        <w:jc w:val="both"/>
        <w:rPr>
          <w:rFonts w:ascii="Verdana" w:eastAsia="Tahoma" w:hAnsi="Verdana" w:cs="Arial Narrow"/>
          <w:sz w:val="22"/>
          <w:szCs w:val="22"/>
        </w:rPr>
      </w:pPr>
      <w:r>
        <w:rPr>
          <w:rFonts w:ascii="Verdana" w:eastAsia="Tahoma" w:hAnsi="Verdana" w:cs="Arial Narrow"/>
          <w:sz w:val="22"/>
          <w:szCs w:val="22"/>
        </w:rPr>
        <w:t xml:space="preserve">W sąsiedztwie obecność sieci: </w:t>
      </w:r>
      <w:r>
        <w:rPr>
          <w:rFonts w:ascii="Verdana" w:eastAsia="Tahoma" w:hAnsi="Verdana" w:cs="Arial Narrow"/>
          <w:sz w:val="22"/>
          <w:szCs w:val="22"/>
        </w:rPr>
        <w:t>energetycznej, wodociągowej, kanalizacyjnej i gazowej.</w:t>
      </w:r>
    </w:p>
    <w:p w14:paraId="3F8B6733" w14:textId="77777777" w:rsidR="00A908AC" w:rsidRDefault="00A908AC">
      <w:pPr>
        <w:pStyle w:val="Standard"/>
        <w:ind w:left="357"/>
        <w:jc w:val="both"/>
        <w:rPr>
          <w:rFonts w:ascii="Verdana" w:eastAsia="Arial" w:hAnsi="Verdana" w:cs="Arial Narrow"/>
          <w:b/>
          <w:bCs/>
          <w:sz w:val="22"/>
          <w:szCs w:val="22"/>
          <w:u w:val="single"/>
        </w:rPr>
      </w:pPr>
      <w:r>
        <w:rPr>
          <w:rFonts w:ascii="Verdana" w:eastAsia="Tahoma" w:hAnsi="Verdana" w:cs="Arial Narrow"/>
          <w:sz w:val="22"/>
          <w:szCs w:val="22"/>
        </w:rPr>
        <w:t>Z rysunkiem przebiegu sieci uzbrojenia i treścią operatu szacunkowego można zapoznać się w Wydziale Obrotu Nieruchomościami, Plac Górników 5, pok. 19.</w:t>
      </w:r>
    </w:p>
    <w:p w14:paraId="6202F2A8" w14:textId="77777777" w:rsidR="00A908AC" w:rsidRDefault="00A908AC">
      <w:pPr>
        <w:pStyle w:val="Standard"/>
        <w:ind w:left="357"/>
        <w:jc w:val="both"/>
        <w:rPr>
          <w:rFonts w:ascii="Verdana" w:hAnsi="Verdana" w:cs="Verdana"/>
          <w:b/>
          <w:bCs/>
          <w:sz w:val="22"/>
          <w:szCs w:val="22"/>
        </w:rPr>
      </w:pPr>
      <w:r>
        <w:rPr>
          <w:rFonts w:ascii="Verdana" w:eastAsia="Arial" w:hAnsi="Verdana" w:cs="Arial Narrow"/>
          <w:b/>
          <w:bCs/>
          <w:sz w:val="22"/>
          <w:szCs w:val="22"/>
          <w:u w:val="single"/>
        </w:rPr>
        <w:t>Biuro ds. Geologii:</w:t>
      </w:r>
      <w:r>
        <w:rPr>
          <w:rFonts w:ascii="Verdana" w:eastAsia="Arial" w:hAnsi="Verdana" w:cs="Arial Narrow"/>
          <w:sz w:val="22"/>
          <w:szCs w:val="22"/>
        </w:rPr>
        <w:t xml:space="preserve"> działka położona w granicach obszaru górniczego czynnego zakładu Górniczego „Sobieski”; na działce zlokalizowana jest zlikwidowana upadowa główna „Adam”.</w:t>
      </w:r>
    </w:p>
    <w:p w14:paraId="2623FCC9" w14:textId="77777777" w:rsidR="00A908AC" w:rsidRDefault="00A908AC">
      <w:pPr>
        <w:pStyle w:val="Standard"/>
        <w:numPr>
          <w:ilvl w:val="0"/>
          <w:numId w:val="7"/>
        </w:numPr>
        <w:ind w:left="357" w:hanging="357"/>
        <w:jc w:val="both"/>
        <w:rPr>
          <w:rFonts w:ascii="Verdana" w:hAnsi="Verdana" w:cs="Verdana"/>
          <w:b/>
          <w:bCs/>
          <w:sz w:val="22"/>
          <w:szCs w:val="22"/>
        </w:rPr>
      </w:pPr>
      <w:r>
        <w:rPr>
          <w:rFonts w:ascii="Verdana" w:hAnsi="Verdana" w:cs="Verdana"/>
          <w:b/>
          <w:bCs/>
          <w:sz w:val="22"/>
          <w:szCs w:val="22"/>
        </w:rPr>
        <w:lastRenderedPageBreak/>
        <w:t xml:space="preserve">Obciążenia nieruchomości i zobowiązania: </w:t>
      </w:r>
      <w:r>
        <w:rPr>
          <w:rFonts w:ascii="Verdana" w:hAnsi="Verdana" w:cs="Verdana"/>
          <w:sz w:val="22"/>
          <w:szCs w:val="22"/>
        </w:rPr>
        <w:t>Nieruchomość nie jest obciążona żadnymi ograniczonymi prawami rzeczowymi oraz nie jest przedmiotem zobowiązań.</w:t>
      </w:r>
    </w:p>
    <w:p w14:paraId="4DA5781F" w14:textId="77777777" w:rsidR="00A908AC" w:rsidRDefault="00A908AC">
      <w:pPr>
        <w:pStyle w:val="Standard"/>
        <w:numPr>
          <w:ilvl w:val="0"/>
          <w:numId w:val="7"/>
        </w:numPr>
        <w:ind w:left="357" w:hanging="357"/>
        <w:jc w:val="both"/>
        <w:rPr>
          <w:rFonts w:ascii="Verdana" w:hAnsi="Verdana" w:cs="Arial Narrow"/>
          <w:b/>
          <w:sz w:val="22"/>
          <w:szCs w:val="22"/>
        </w:rPr>
      </w:pPr>
      <w:r>
        <w:rPr>
          <w:rFonts w:ascii="Verdana" w:hAnsi="Verdana" w:cs="Verdana"/>
          <w:b/>
          <w:bCs/>
          <w:sz w:val="22"/>
          <w:szCs w:val="22"/>
        </w:rPr>
        <w:t>Przeznaczenie działki w miejscowym planie zagospodarowania przestrzennego</w:t>
      </w:r>
      <w:r>
        <w:rPr>
          <w:rFonts w:ascii="Verdana" w:hAnsi="Verdana" w:cs="Verdana"/>
          <w:sz w:val="22"/>
          <w:szCs w:val="22"/>
        </w:rPr>
        <w:t xml:space="preserve">: Zgodnie z ustaleniami miejscowego planu zagospodarowania przestrzennego „Piłsudski” w Jaworznie, zatwierdzonego Uchwałą Nr XXIV/322/2008 Rady Miejskiej w Jaworznie z dnia 28 sierpnia 2008 r. (Dz. Urz. Woj. Śl. Nr 182 poz. 3321), przedmiotowa nieruchomość położona jest na terenie oznaczonym symbolem </w:t>
      </w:r>
      <w:r>
        <w:rPr>
          <w:rFonts w:ascii="Verdana" w:hAnsi="Verdana" w:cs="Arial Narrow"/>
          <w:b/>
          <w:bCs/>
          <w:sz w:val="22"/>
          <w:szCs w:val="22"/>
          <w:lang w:bidi="ar-SA"/>
        </w:rPr>
        <w:t>1PU</w:t>
      </w:r>
      <w:r>
        <w:rPr>
          <w:rFonts w:ascii="Verdana" w:hAnsi="Verdana" w:cs="Arial Narrow"/>
          <w:sz w:val="22"/>
          <w:szCs w:val="22"/>
          <w:lang w:bidi="ar-SA"/>
        </w:rPr>
        <w:t xml:space="preserve"> - tereny zabudowy </w:t>
      </w:r>
      <w:proofErr w:type="spellStart"/>
      <w:r>
        <w:rPr>
          <w:rFonts w:ascii="Verdana" w:hAnsi="Verdana" w:cs="Arial Narrow"/>
          <w:sz w:val="22"/>
          <w:szCs w:val="22"/>
          <w:lang w:bidi="ar-SA"/>
        </w:rPr>
        <w:t>produkcyjno</w:t>
      </w:r>
      <w:proofErr w:type="spellEnd"/>
      <w:r>
        <w:rPr>
          <w:rFonts w:ascii="Verdana" w:hAnsi="Verdana" w:cs="Arial Narrow"/>
          <w:sz w:val="22"/>
          <w:szCs w:val="22"/>
          <w:lang w:bidi="ar-SA"/>
        </w:rPr>
        <w:t xml:space="preserve"> – usługowej (pow. 11.237 m²) i </w:t>
      </w:r>
      <w:r>
        <w:rPr>
          <w:rFonts w:ascii="Verdana" w:eastAsia="Tahoma" w:hAnsi="Verdana" w:cs="Arial Narrow"/>
          <w:b/>
          <w:bCs/>
          <w:sz w:val="22"/>
          <w:szCs w:val="22"/>
          <w:lang w:eastAsia="ar-SA"/>
        </w:rPr>
        <w:t>2ZP</w:t>
      </w:r>
      <w:r>
        <w:rPr>
          <w:rFonts w:ascii="Verdana" w:eastAsia="Tahoma" w:hAnsi="Verdana" w:cs="Arial Narrow"/>
          <w:sz w:val="22"/>
          <w:szCs w:val="22"/>
          <w:lang w:eastAsia="ar-SA"/>
        </w:rPr>
        <w:t xml:space="preserve"> – tereny zieleni urządzonej, teren parku (pow. 725 m²).</w:t>
      </w:r>
    </w:p>
    <w:p w14:paraId="5FFE1394" w14:textId="77777777" w:rsidR="00A908AC" w:rsidRDefault="00A908AC">
      <w:pPr>
        <w:pStyle w:val="Standard"/>
        <w:spacing w:before="120"/>
        <w:ind w:left="357"/>
        <w:jc w:val="both"/>
        <w:rPr>
          <w:rFonts w:ascii="Verdana" w:hAnsi="Verdana" w:cs="Arial Narrow"/>
          <w:sz w:val="22"/>
          <w:szCs w:val="22"/>
        </w:rPr>
      </w:pPr>
      <w:r>
        <w:rPr>
          <w:rFonts w:ascii="Verdana" w:hAnsi="Verdana" w:cs="Arial Narrow"/>
          <w:b/>
          <w:sz w:val="22"/>
          <w:szCs w:val="22"/>
        </w:rPr>
        <w:t xml:space="preserve">Strefa 1 PU - Tereny zabudowy </w:t>
      </w:r>
      <w:proofErr w:type="spellStart"/>
      <w:r>
        <w:rPr>
          <w:rFonts w:ascii="Verdana" w:hAnsi="Verdana" w:cs="Arial Narrow"/>
          <w:b/>
          <w:sz w:val="22"/>
          <w:szCs w:val="22"/>
        </w:rPr>
        <w:t>produkcyjno</w:t>
      </w:r>
      <w:proofErr w:type="spellEnd"/>
      <w:r>
        <w:rPr>
          <w:rFonts w:ascii="Verdana" w:hAnsi="Verdana" w:cs="Arial Narrow"/>
          <w:b/>
          <w:sz w:val="22"/>
          <w:szCs w:val="22"/>
        </w:rPr>
        <w:t xml:space="preserve"> – usługowej oznaczone symbolami 1 PU ÷ 4 PU o łącznej powierzchni 37,1 ha.</w:t>
      </w:r>
    </w:p>
    <w:p w14:paraId="3141F832" w14:textId="77777777" w:rsidR="00A908AC" w:rsidRDefault="00A908AC">
      <w:pPr>
        <w:pStyle w:val="Textbody"/>
        <w:widowControl w:val="0"/>
        <w:tabs>
          <w:tab w:val="left" w:pos="284"/>
          <w:tab w:val="left" w:pos="1270"/>
          <w:tab w:val="left" w:pos="1375"/>
        </w:tabs>
        <w:spacing w:after="0" w:line="240" w:lineRule="auto"/>
        <w:ind w:left="357"/>
        <w:jc w:val="both"/>
        <w:rPr>
          <w:rFonts w:ascii="Verdana" w:hAnsi="Verdana" w:cs="Arial Narrow"/>
          <w:sz w:val="22"/>
          <w:szCs w:val="22"/>
        </w:rPr>
      </w:pPr>
      <w:r>
        <w:rPr>
          <w:rFonts w:ascii="Verdana" w:hAnsi="Verdana" w:cs="Arial Narrow"/>
          <w:sz w:val="22"/>
          <w:szCs w:val="22"/>
        </w:rPr>
        <w:t>1. Przeznaczenie, zasady zagospodarowania:</w:t>
      </w:r>
    </w:p>
    <w:p w14:paraId="4ADB716D" w14:textId="77777777" w:rsidR="00A908AC" w:rsidRDefault="00A908AC">
      <w:pPr>
        <w:pStyle w:val="Textbody"/>
        <w:widowControl w:val="0"/>
        <w:numPr>
          <w:ilvl w:val="1"/>
          <w:numId w:val="2"/>
        </w:numPr>
        <w:tabs>
          <w:tab w:val="left" w:pos="905"/>
        </w:tabs>
        <w:spacing w:after="0" w:line="240" w:lineRule="auto"/>
        <w:ind w:left="1077" w:hanging="397"/>
        <w:jc w:val="both"/>
        <w:rPr>
          <w:rFonts w:ascii="Verdana" w:hAnsi="Verdana" w:cs="Arial Narrow"/>
          <w:sz w:val="22"/>
          <w:szCs w:val="22"/>
        </w:rPr>
      </w:pPr>
      <w:r>
        <w:rPr>
          <w:rFonts w:ascii="Verdana" w:hAnsi="Verdana" w:cs="Arial Narrow"/>
          <w:sz w:val="22"/>
          <w:szCs w:val="22"/>
        </w:rPr>
        <w:t>przeznaczenie podstawowe – zabudowa produkcyjna, składów, magazynów oraz z wyłączeniem terenu 4 PU usługowa, w tym handel hurtowy i detaliczny bez ograniczenia powierzchni sprzedaży, w tym również obiekty o powierzchni sprzedażnej powyżej 2 000 m</w:t>
      </w:r>
      <w:r>
        <w:rPr>
          <w:rFonts w:ascii="Verdana" w:eastAsia="Arial Unicode MS" w:hAnsi="Verdana" w:cs="Arial Narrow"/>
          <w:position w:val="7"/>
          <w:sz w:val="22"/>
          <w:szCs w:val="22"/>
        </w:rPr>
        <w:t>²</w:t>
      </w:r>
      <w:r>
        <w:rPr>
          <w:rFonts w:ascii="Verdana" w:hAnsi="Verdana" w:cs="Arial Narrow"/>
          <w:sz w:val="22"/>
          <w:szCs w:val="22"/>
        </w:rPr>
        <w:t>,</w:t>
      </w:r>
    </w:p>
    <w:p w14:paraId="5F9B4594" w14:textId="77777777" w:rsidR="00A908AC" w:rsidRDefault="00A908AC">
      <w:pPr>
        <w:pStyle w:val="Textbody"/>
        <w:widowControl w:val="0"/>
        <w:numPr>
          <w:ilvl w:val="1"/>
          <w:numId w:val="2"/>
        </w:numPr>
        <w:tabs>
          <w:tab w:val="left" w:pos="905"/>
        </w:tabs>
        <w:spacing w:after="0" w:line="240" w:lineRule="auto"/>
        <w:ind w:left="1077" w:hanging="397"/>
        <w:jc w:val="both"/>
        <w:rPr>
          <w:rFonts w:ascii="Verdana" w:hAnsi="Verdana" w:cs="Arial Narrow"/>
          <w:sz w:val="22"/>
          <w:szCs w:val="22"/>
        </w:rPr>
      </w:pPr>
      <w:r>
        <w:rPr>
          <w:rFonts w:ascii="Verdana" w:hAnsi="Verdana" w:cs="Arial Narrow"/>
          <w:sz w:val="22"/>
          <w:szCs w:val="22"/>
        </w:rPr>
        <w:t>przeznaczenie dopuszczalne – zabudowa biurowa,</w:t>
      </w:r>
    </w:p>
    <w:p w14:paraId="62C91694" w14:textId="77777777" w:rsidR="00A908AC" w:rsidRDefault="00A908AC">
      <w:pPr>
        <w:pStyle w:val="Textbody"/>
        <w:widowControl w:val="0"/>
        <w:numPr>
          <w:ilvl w:val="1"/>
          <w:numId w:val="2"/>
        </w:numPr>
        <w:tabs>
          <w:tab w:val="left" w:pos="905"/>
        </w:tabs>
        <w:spacing w:after="0" w:line="240" w:lineRule="auto"/>
        <w:ind w:left="1077" w:hanging="397"/>
        <w:jc w:val="both"/>
        <w:rPr>
          <w:rFonts w:ascii="Verdana" w:hAnsi="Verdana" w:cs="Arial Narrow"/>
          <w:sz w:val="22"/>
          <w:szCs w:val="22"/>
        </w:rPr>
      </w:pPr>
      <w:r>
        <w:rPr>
          <w:rFonts w:ascii="Verdana" w:hAnsi="Verdana" w:cs="Arial Narrow"/>
          <w:sz w:val="22"/>
          <w:szCs w:val="22"/>
        </w:rPr>
        <w:t>przeznaczenie uzupełniające:</w:t>
      </w:r>
    </w:p>
    <w:p w14:paraId="57742779" w14:textId="77777777" w:rsidR="00A908AC" w:rsidRDefault="00A908AC">
      <w:pPr>
        <w:pStyle w:val="Textbody"/>
        <w:widowControl w:val="0"/>
        <w:numPr>
          <w:ilvl w:val="2"/>
          <w:numId w:val="5"/>
        </w:numPr>
        <w:tabs>
          <w:tab w:val="left" w:pos="1245"/>
        </w:tabs>
        <w:spacing w:after="0" w:line="240" w:lineRule="auto"/>
        <w:ind w:left="1418"/>
        <w:jc w:val="both"/>
        <w:rPr>
          <w:rFonts w:ascii="Verdana" w:hAnsi="Verdana" w:cs="Arial Narrow"/>
          <w:sz w:val="22"/>
          <w:szCs w:val="22"/>
        </w:rPr>
      </w:pPr>
      <w:r>
        <w:rPr>
          <w:rFonts w:ascii="Verdana" w:hAnsi="Verdana" w:cs="Arial Narrow"/>
          <w:sz w:val="22"/>
          <w:szCs w:val="22"/>
        </w:rPr>
        <w:t>sieci i urządzenia infrastruktury technicznej, drogi wewnętrzne, parkingi,</w:t>
      </w:r>
    </w:p>
    <w:p w14:paraId="1E1B2287" w14:textId="77777777" w:rsidR="00A908AC" w:rsidRDefault="00A908AC">
      <w:pPr>
        <w:pStyle w:val="Textbody"/>
        <w:widowControl w:val="0"/>
        <w:numPr>
          <w:ilvl w:val="2"/>
          <w:numId w:val="5"/>
        </w:numPr>
        <w:tabs>
          <w:tab w:val="left" w:pos="1245"/>
        </w:tabs>
        <w:spacing w:after="0" w:line="240" w:lineRule="auto"/>
        <w:ind w:left="1418"/>
        <w:jc w:val="both"/>
        <w:rPr>
          <w:rFonts w:ascii="Verdana" w:hAnsi="Verdana" w:cs="Arial Narrow"/>
          <w:sz w:val="22"/>
          <w:szCs w:val="22"/>
        </w:rPr>
      </w:pPr>
      <w:r>
        <w:rPr>
          <w:rFonts w:ascii="Verdana" w:hAnsi="Verdana" w:cs="Arial Narrow"/>
          <w:sz w:val="22"/>
          <w:szCs w:val="22"/>
        </w:rPr>
        <w:t>zieleń urządzona,</w:t>
      </w:r>
    </w:p>
    <w:p w14:paraId="12085928" w14:textId="77777777" w:rsidR="00A908AC" w:rsidRDefault="00A908AC">
      <w:pPr>
        <w:pStyle w:val="Textbody"/>
        <w:widowControl w:val="0"/>
        <w:numPr>
          <w:ilvl w:val="1"/>
          <w:numId w:val="2"/>
        </w:numPr>
        <w:tabs>
          <w:tab w:val="left" w:pos="905"/>
        </w:tabs>
        <w:spacing w:after="0" w:line="240" w:lineRule="auto"/>
        <w:ind w:left="1077" w:hanging="397"/>
        <w:jc w:val="both"/>
        <w:rPr>
          <w:rFonts w:ascii="Verdana" w:hAnsi="Verdana" w:cs="Arial Narrow"/>
          <w:sz w:val="22"/>
          <w:szCs w:val="22"/>
        </w:rPr>
      </w:pPr>
      <w:r>
        <w:rPr>
          <w:rFonts w:ascii="Verdana" w:hAnsi="Verdana" w:cs="Arial Narrow"/>
          <w:sz w:val="22"/>
          <w:szCs w:val="22"/>
        </w:rPr>
        <w:t>zakazuje się realizacji:</w:t>
      </w:r>
    </w:p>
    <w:p w14:paraId="65510B47" w14:textId="77777777" w:rsidR="00A908AC" w:rsidRDefault="00A908AC">
      <w:pPr>
        <w:pStyle w:val="Textbody"/>
        <w:widowControl w:val="0"/>
        <w:numPr>
          <w:ilvl w:val="2"/>
          <w:numId w:val="3"/>
        </w:numPr>
        <w:tabs>
          <w:tab w:val="left" w:pos="1245"/>
        </w:tabs>
        <w:spacing w:after="0" w:line="240" w:lineRule="auto"/>
        <w:ind w:left="1418"/>
        <w:jc w:val="both"/>
        <w:rPr>
          <w:rFonts w:ascii="Verdana" w:hAnsi="Verdana" w:cs="Arial Narrow"/>
          <w:sz w:val="22"/>
          <w:szCs w:val="22"/>
        </w:rPr>
      </w:pPr>
      <w:r>
        <w:rPr>
          <w:rFonts w:ascii="Verdana" w:hAnsi="Verdana" w:cs="Arial Narrow"/>
          <w:sz w:val="22"/>
          <w:szCs w:val="22"/>
        </w:rPr>
        <w:t>obiektów i urządzeń o funkcjach uciążliwych,</w:t>
      </w:r>
    </w:p>
    <w:p w14:paraId="712A8206" w14:textId="77777777" w:rsidR="00A908AC" w:rsidRDefault="00A908AC">
      <w:pPr>
        <w:pStyle w:val="Textbody"/>
        <w:widowControl w:val="0"/>
        <w:numPr>
          <w:ilvl w:val="2"/>
          <w:numId w:val="3"/>
        </w:numPr>
        <w:tabs>
          <w:tab w:val="left" w:pos="1245"/>
        </w:tabs>
        <w:spacing w:after="0" w:line="240" w:lineRule="auto"/>
        <w:ind w:left="1418"/>
        <w:jc w:val="both"/>
        <w:rPr>
          <w:rFonts w:ascii="Verdana" w:hAnsi="Verdana" w:cs="Arial Narrow"/>
          <w:sz w:val="22"/>
          <w:szCs w:val="22"/>
        </w:rPr>
      </w:pPr>
      <w:r>
        <w:rPr>
          <w:rFonts w:ascii="Verdana" w:hAnsi="Verdana" w:cs="Arial Narrow"/>
          <w:sz w:val="22"/>
          <w:szCs w:val="22"/>
        </w:rPr>
        <w:t>składowania i przeróbki materiałów niebezpiecznych,</w:t>
      </w:r>
    </w:p>
    <w:p w14:paraId="06CB1B37" w14:textId="77777777" w:rsidR="00A908AC" w:rsidRDefault="00A908AC">
      <w:pPr>
        <w:pStyle w:val="Textbody"/>
        <w:widowControl w:val="0"/>
        <w:numPr>
          <w:ilvl w:val="1"/>
          <w:numId w:val="2"/>
        </w:numPr>
        <w:tabs>
          <w:tab w:val="left" w:pos="905"/>
        </w:tabs>
        <w:spacing w:after="0" w:line="240" w:lineRule="auto"/>
        <w:ind w:left="1077" w:hanging="397"/>
        <w:jc w:val="both"/>
        <w:rPr>
          <w:rFonts w:ascii="Verdana" w:hAnsi="Verdana" w:cs="Arial Narrow"/>
          <w:sz w:val="22"/>
          <w:szCs w:val="22"/>
        </w:rPr>
      </w:pPr>
      <w:r>
        <w:rPr>
          <w:rFonts w:ascii="Verdana" w:hAnsi="Verdana" w:cs="Arial Narrow"/>
          <w:sz w:val="22"/>
          <w:szCs w:val="22"/>
        </w:rPr>
        <w:t>zasady zagospodarowania terenów:</w:t>
      </w:r>
    </w:p>
    <w:p w14:paraId="38DFCA59" w14:textId="77777777" w:rsidR="00A908AC" w:rsidRDefault="00A908AC">
      <w:pPr>
        <w:pStyle w:val="Textbody"/>
        <w:widowControl w:val="0"/>
        <w:numPr>
          <w:ilvl w:val="2"/>
          <w:numId w:val="6"/>
        </w:numPr>
        <w:tabs>
          <w:tab w:val="left" w:pos="1245"/>
        </w:tabs>
        <w:spacing w:after="0" w:line="240" w:lineRule="auto"/>
        <w:ind w:left="1418"/>
        <w:jc w:val="both"/>
        <w:rPr>
          <w:rFonts w:ascii="Verdana" w:hAnsi="Verdana" w:cs="Arial Narrow"/>
          <w:sz w:val="22"/>
          <w:szCs w:val="22"/>
        </w:rPr>
      </w:pPr>
      <w:r>
        <w:rPr>
          <w:rFonts w:ascii="Verdana" w:hAnsi="Verdana" w:cs="Arial Narrow"/>
          <w:sz w:val="22"/>
          <w:szCs w:val="22"/>
        </w:rPr>
        <w:t>ustala się sytuowanie obiektów kubaturowych równolegle do dróg klasy G lub GP, z elewacją frontową projektowaną od strony tych dróg,</w:t>
      </w:r>
    </w:p>
    <w:p w14:paraId="7C62891A" w14:textId="77777777" w:rsidR="00A908AC" w:rsidRDefault="00A908AC">
      <w:pPr>
        <w:pStyle w:val="Textbody"/>
        <w:widowControl w:val="0"/>
        <w:numPr>
          <w:ilvl w:val="2"/>
          <w:numId w:val="6"/>
        </w:numPr>
        <w:tabs>
          <w:tab w:val="left" w:pos="1245"/>
        </w:tabs>
        <w:spacing w:after="0" w:line="240" w:lineRule="auto"/>
        <w:ind w:left="1418"/>
        <w:jc w:val="both"/>
        <w:rPr>
          <w:rFonts w:ascii="Verdana" w:hAnsi="Verdana" w:cs="Arial Narrow"/>
          <w:sz w:val="22"/>
          <w:szCs w:val="22"/>
        </w:rPr>
      </w:pPr>
      <w:r>
        <w:rPr>
          <w:rFonts w:ascii="Verdana" w:hAnsi="Verdana" w:cs="Arial Narrow"/>
          <w:sz w:val="22"/>
          <w:szCs w:val="22"/>
        </w:rPr>
        <w:t>zakazuje się stosowania ogrodzeń z elementów betonowych, blaszanych i muru pełnego,</w:t>
      </w:r>
    </w:p>
    <w:p w14:paraId="6B32A34D" w14:textId="77777777" w:rsidR="00A908AC" w:rsidRDefault="00A908AC">
      <w:pPr>
        <w:pStyle w:val="Textbody"/>
        <w:widowControl w:val="0"/>
        <w:numPr>
          <w:ilvl w:val="2"/>
          <w:numId w:val="6"/>
        </w:numPr>
        <w:tabs>
          <w:tab w:val="left" w:pos="1245"/>
        </w:tabs>
        <w:spacing w:after="0" w:line="240" w:lineRule="auto"/>
        <w:ind w:left="1418"/>
        <w:jc w:val="both"/>
        <w:rPr>
          <w:rFonts w:ascii="Verdana" w:hAnsi="Verdana" w:cs="Arial Narrow"/>
          <w:sz w:val="22"/>
          <w:szCs w:val="22"/>
        </w:rPr>
      </w:pPr>
      <w:r>
        <w:rPr>
          <w:rFonts w:ascii="Verdana" w:hAnsi="Verdana" w:cs="Arial Narrow"/>
          <w:sz w:val="22"/>
          <w:szCs w:val="22"/>
        </w:rPr>
        <w:t>nakazuje się części terenów zawarte między liniami rozgraniczającymi a nieprzekraczalnymi liniami zabudowy zagospodarować w co najmniej 50 % jako zieleń urządzoną o charakterze dekoracyjnym,</w:t>
      </w:r>
    </w:p>
    <w:p w14:paraId="10AFC0BB" w14:textId="77777777" w:rsidR="00A908AC" w:rsidRDefault="00A908AC">
      <w:pPr>
        <w:pStyle w:val="Textbody"/>
        <w:widowControl w:val="0"/>
        <w:numPr>
          <w:ilvl w:val="2"/>
          <w:numId w:val="6"/>
        </w:numPr>
        <w:tabs>
          <w:tab w:val="left" w:pos="1245"/>
        </w:tabs>
        <w:spacing w:after="0" w:line="240" w:lineRule="auto"/>
        <w:ind w:left="1418"/>
        <w:jc w:val="both"/>
        <w:rPr>
          <w:rFonts w:ascii="Verdana" w:eastAsia="Arial" w:hAnsi="Verdana" w:cs="Arial Narrow"/>
          <w:sz w:val="22"/>
          <w:szCs w:val="22"/>
          <w:lang w:eastAsia="ar-SA"/>
        </w:rPr>
      </w:pPr>
      <w:r>
        <w:rPr>
          <w:rFonts w:ascii="Verdana" w:hAnsi="Verdana" w:cs="Arial Narrow"/>
          <w:sz w:val="22"/>
          <w:szCs w:val="22"/>
        </w:rPr>
        <w:t>w terenie 1 PU dopuszcza się realizację drogi łączącej ustalone zjazdy KX z dróg 1 KDG2/2 i 2 KDL1/2 jako drogi wewnętrznej lub publicznej o parametrach technicznych jak dla drogi lokalnej,</w:t>
      </w:r>
    </w:p>
    <w:p w14:paraId="41816DDF" w14:textId="77777777" w:rsidR="00A908AC" w:rsidRDefault="00A908AC">
      <w:pPr>
        <w:pStyle w:val="Textbody"/>
        <w:widowControl w:val="0"/>
        <w:numPr>
          <w:ilvl w:val="2"/>
          <w:numId w:val="6"/>
        </w:numPr>
        <w:tabs>
          <w:tab w:val="left" w:pos="1245"/>
        </w:tabs>
        <w:spacing w:after="0" w:line="240" w:lineRule="auto"/>
        <w:ind w:left="1418"/>
        <w:jc w:val="both"/>
        <w:rPr>
          <w:rFonts w:ascii="Verdana" w:hAnsi="Verdana" w:cs="Arial Narrow"/>
          <w:b/>
          <w:sz w:val="22"/>
          <w:szCs w:val="22"/>
        </w:rPr>
      </w:pPr>
      <w:r>
        <w:rPr>
          <w:rFonts w:ascii="Verdana" w:eastAsia="Arial" w:hAnsi="Verdana" w:cs="Arial Narrow"/>
          <w:sz w:val="22"/>
          <w:szCs w:val="22"/>
          <w:lang w:eastAsia="ar-SA"/>
        </w:rPr>
        <w:t>dopuszcza się podział terenu 1 PU na działki budowlane pod warunkiem realizacji drogi, o której mowa w lit. d (…).</w:t>
      </w:r>
    </w:p>
    <w:p w14:paraId="1D60D6BC" w14:textId="77777777" w:rsidR="00A908AC" w:rsidRDefault="00A908AC">
      <w:pPr>
        <w:pStyle w:val="Textbody"/>
        <w:spacing w:before="120" w:after="0" w:line="240" w:lineRule="auto"/>
        <w:ind w:left="357"/>
        <w:rPr>
          <w:rFonts w:ascii="Verdana" w:hAnsi="Verdana" w:cs="Arial Narrow"/>
          <w:sz w:val="22"/>
          <w:szCs w:val="22"/>
        </w:rPr>
      </w:pPr>
      <w:r>
        <w:rPr>
          <w:rFonts w:ascii="Verdana" w:hAnsi="Verdana" w:cs="Arial Narrow"/>
          <w:b/>
          <w:sz w:val="22"/>
          <w:szCs w:val="22"/>
        </w:rPr>
        <w:t>Strefa 2ZP – Tereny zieleni urządzonej, teren parku oznaczone symbolami 1 ZP ÷ 2 ZP o łącz</w:t>
      </w:r>
      <w:r>
        <w:rPr>
          <w:rFonts w:ascii="Verdana" w:hAnsi="Verdana" w:cs="Arial Narrow"/>
          <w:b/>
          <w:sz w:val="22"/>
          <w:szCs w:val="22"/>
        </w:rPr>
        <w:t>nej powierzchni 25,5 ha.</w:t>
      </w:r>
    </w:p>
    <w:p w14:paraId="271AB228" w14:textId="77777777" w:rsidR="00A908AC" w:rsidRDefault="00A908AC">
      <w:pPr>
        <w:pStyle w:val="Textbody"/>
        <w:tabs>
          <w:tab w:val="left" w:pos="255"/>
          <w:tab w:val="left" w:pos="585"/>
        </w:tabs>
        <w:spacing w:after="0" w:line="240" w:lineRule="auto"/>
        <w:ind w:left="357"/>
        <w:jc w:val="both"/>
        <w:rPr>
          <w:rFonts w:ascii="Verdana" w:hAnsi="Verdana" w:cs="Arial Narrow"/>
          <w:sz w:val="22"/>
          <w:szCs w:val="22"/>
        </w:rPr>
      </w:pPr>
      <w:r>
        <w:rPr>
          <w:rFonts w:ascii="Verdana" w:hAnsi="Verdana" w:cs="Arial Narrow"/>
          <w:sz w:val="22"/>
          <w:szCs w:val="22"/>
        </w:rPr>
        <w:t>1. Przeznaczenie, zasady zagospodarowania terenu oraz zasady kształtowania ładu przestrzennego:</w:t>
      </w:r>
    </w:p>
    <w:p w14:paraId="4631636D" w14:textId="77777777" w:rsidR="00A908AC" w:rsidRDefault="00A908AC">
      <w:pPr>
        <w:pStyle w:val="Textbody"/>
        <w:tabs>
          <w:tab w:val="left" w:pos="1245"/>
          <w:tab w:val="left" w:pos="1335"/>
          <w:tab w:val="left" w:pos="1665"/>
        </w:tabs>
        <w:spacing w:after="0" w:line="240" w:lineRule="auto"/>
        <w:ind w:left="567"/>
        <w:jc w:val="both"/>
        <w:rPr>
          <w:rFonts w:ascii="Verdana" w:hAnsi="Verdana" w:cs="Arial Narrow"/>
          <w:sz w:val="22"/>
          <w:szCs w:val="22"/>
        </w:rPr>
      </w:pPr>
      <w:r>
        <w:rPr>
          <w:rFonts w:ascii="Verdana" w:hAnsi="Verdana" w:cs="Arial Narrow"/>
          <w:sz w:val="22"/>
          <w:szCs w:val="22"/>
        </w:rPr>
        <w:t>1) przeznaczenie podstawowe – tereny zieleni urządzonej pełniące funkcję parku miejskiego,</w:t>
      </w:r>
    </w:p>
    <w:p w14:paraId="6FC01D98" w14:textId="77777777" w:rsidR="00A908AC" w:rsidRDefault="00A908AC">
      <w:pPr>
        <w:pStyle w:val="Textbody"/>
        <w:tabs>
          <w:tab w:val="left" w:pos="1245"/>
          <w:tab w:val="left" w:pos="1335"/>
          <w:tab w:val="left" w:pos="1665"/>
        </w:tabs>
        <w:spacing w:after="0" w:line="240" w:lineRule="auto"/>
        <w:ind w:left="567"/>
        <w:jc w:val="both"/>
        <w:rPr>
          <w:rFonts w:ascii="Verdana" w:hAnsi="Verdana" w:cs="Arial Narrow"/>
          <w:sz w:val="22"/>
          <w:szCs w:val="22"/>
        </w:rPr>
      </w:pPr>
      <w:r>
        <w:rPr>
          <w:rFonts w:ascii="Verdana" w:hAnsi="Verdana" w:cs="Arial Narrow"/>
          <w:sz w:val="22"/>
          <w:szCs w:val="22"/>
        </w:rPr>
        <w:t>2) przeznaczenie uzupełniające:</w:t>
      </w:r>
    </w:p>
    <w:p w14:paraId="383C379F" w14:textId="77777777" w:rsidR="00A908AC" w:rsidRDefault="00A908AC">
      <w:pPr>
        <w:pStyle w:val="Textbody"/>
        <w:tabs>
          <w:tab w:val="left" w:pos="1605"/>
          <w:tab w:val="left" w:pos="1695"/>
          <w:tab w:val="left" w:pos="2025"/>
        </w:tabs>
        <w:spacing w:after="0" w:line="240" w:lineRule="auto"/>
        <w:ind w:left="993"/>
        <w:jc w:val="both"/>
        <w:rPr>
          <w:rFonts w:ascii="Verdana" w:hAnsi="Verdana" w:cs="Arial Narrow"/>
          <w:sz w:val="22"/>
          <w:szCs w:val="22"/>
        </w:rPr>
      </w:pPr>
      <w:r>
        <w:rPr>
          <w:rFonts w:ascii="Verdana" w:hAnsi="Verdana" w:cs="Arial Narrow"/>
          <w:sz w:val="22"/>
          <w:szCs w:val="22"/>
        </w:rPr>
        <w:t>a) urządzenia rekreacyjne,</w:t>
      </w:r>
    </w:p>
    <w:p w14:paraId="792E9BB6" w14:textId="77777777" w:rsidR="00A908AC" w:rsidRDefault="00A908AC">
      <w:pPr>
        <w:pStyle w:val="Textbody"/>
        <w:tabs>
          <w:tab w:val="left" w:pos="1605"/>
          <w:tab w:val="left" w:pos="1695"/>
          <w:tab w:val="left" w:pos="2025"/>
        </w:tabs>
        <w:spacing w:after="0" w:line="240" w:lineRule="auto"/>
        <w:ind w:left="993"/>
        <w:jc w:val="both"/>
        <w:rPr>
          <w:rFonts w:ascii="Verdana" w:hAnsi="Verdana" w:cs="Arial Narrow"/>
          <w:sz w:val="22"/>
          <w:szCs w:val="22"/>
        </w:rPr>
      </w:pPr>
      <w:r>
        <w:rPr>
          <w:rFonts w:ascii="Verdana" w:hAnsi="Verdana" w:cs="Arial Narrow"/>
          <w:sz w:val="22"/>
          <w:szCs w:val="22"/>
        </w:rPr>
        <w:t>b) obiekty zaplecza sanitarnego,</w:t>
      </w:r>
    </w:p>
    <w:p w14:paraId="0C1883DD" w14:textId="77777777" w:rsidR="00A908AC" w:rsidRDefault="00A908AC">
      <w:pPr>
        <w:pStyle w:val="Textbody"/>
        <w:tabs>
          <w:tab w:val="left" w:pos="1605"/>
          <w:tab w:val="left" w:pos="1695"/>
          <w:tab w:val="left" w:pos="2025"/>
        </w:tabs>
        <w:spacing w:after="0" w:line="240" w:lineRule="auto"/>
        <w:ind w:left="993"/>
        <w:jc w:val="both"/>
        <w:rPr>
          <w:rFonts w:ascii="Verdana" w:eastAsia="Arial" w:hAnsi="Verdana" w:cs="Arial Narrow"/>
          <w:sz w:val="22"/>
          <w:szCs w:val="22"/>
          <w:lang w:eastAsia="ar-SA"/>
        </w:rPr>
      </w:pPr>
      <w:r>
        <w:rPr>
          <w:rFonts w:ascii="Verdana" w:hAnsi="Verdana" w:cs="Arial Narrow"/>
          <w:sz w:val="22"/>
          <w:szCs w:val="22"/>
        </w:rPr>
        <w:t>c) sieci i urządzenia infrastruktury technicznej niezbędne do obsługi terenu,</w:t>
      </w:r>
    </w:p>
    <w:p w14:paraId="23877ABF" w14:textId="77777777" w:rsidR="00A908AC" w:rsidRDefault="00A908AC">
      <w:pPr>
        <w:pStyle w:val="Textbody"/>
        <w:tabs>
          <w:tab w:val="left" w:pos="1245"/>
          <w:tab w:val="left" w:pos="1335"/>
          <w:tab w:val="left" w:pos="1665"/>
        </w:tabs>
        <w:spacing w:after="0" w:line="240" w:lineRule="auto"/>
        <w:ind w:left="567"/>
        <w:jc w:val="both"/>
        <w:rPr>
          <w:rFonts w:ascii="Verdana" w:eastAsia="Arial" w:hAnsi="Verdana" w:cs="Arial Narrow"/>
          <w:b/>
          <w:sz w:val="22"/>
          <w:szCs w:val="22"/>
          <w:lang w:eastAsia="ar-SA"/>
        </w:rPr>
      </w:pPr>
      <w:r>
        <w:rPr>
          <w:rFonts w:ascii="Verdana" w:eastAsia="Arial" w:hAnsi="Verdana" w:cs="Arial Narrow"/>
          <w:sz w:val="22"/>
          <w:szCs w:val="22"/>
          <w:lang w:eastAsia="ar-SA"/>
        </w:rPr>
        <w:t>3) zakazuje się budowy obiektów kubaturowych poza wymienionymi w pkt 2 (…).</w:t>
      </w:r>
    </w:p>
    <w:p w14:paraId="1F7CB37A" w14:textId="77777777" w:rsidR="00A908AC" w:rsidRDefault="00A908AC">
      <w:pPr>
        <w:pStyle w:val="Textbody"/>
        <w:tabs>
          <w:tab w:val="left" w:pos="165"/>
          <w:tab w:val="left" w:pos="255"/>
          <w:tab w:val="left" w:pos="585"/>
        </w:tabs>
        <w:spacing w:before="120" w:after="0" w:line="240" w:lineRule="auto"/>
        <w:ind w:left="357"/>
        <w:jc w:val="both"/>
        <w:rPr>
          <w:rFonts w:ascii="Verdana" w:eastAsia="Arial Narrow" w:hAnsi="Verdana" w:cs="Arial Narrow"/>
          <w:sz w:val="22"/>
          <w:szCs w:val="22"/>
          <w:lang w:eastAsia="ar-SA"/>
        </w:rPr>
      </w:pPr>
      <w:r>
        <w:rPr>
          <w:rFonts w:ascii="Verdana" w:eastAsia="Arial" w:hAnsi="Verdana" w:cs="Arial Narrow"/>
          <w:b/>
          <w:sz w:val="22"/>
          <w:szCs w:val="22"/>
          <w:lang w:eastAsia="ar-SA"/>
        </w:rPr>
        <w:t>Zasady budowy i rozbudowy systemów komunikacji i infra</w:t>
      </w:r>
      <w:r>
        <w:rPr>
          <w:rFonts w:ascii="Verdana" w:eastAsia="Arial" w:hAnsi="Verdana" w:cs="Arial Narrow"/>
          <w:b/>
          <w:sz w:val="22"/>
          <w:szCs w:val="22"/>
          <w:lang w:eastAsia="ar-SA"/>
        </w:rPr>
        <w:t>struktury technicznej:</w:t>
      </w:r>
    </w:p>
    <w:p w14:paraId="0DFE0ABE" w14:textId="77777777" w:rsidR="00A908AC" w:rsidRDefault="00A908AC">
      <w:pPr>
        <w:pStyle w:val="Standard"/>
        <w:tabs>
          <w:tab w:val="left" w:pos="-15"/>
        </w:tabs>
        <w:ind w:left="357"/>
        <w:jc w:val="both"/>
        <w:rPr>
          <w:rFonts w:ascii="Verdana" w:eastAsia="Arial Narrow" w:hAnsi="Verdana" w:cs="Arial Narrow"/>
          <w:sz w:val="22"/>
          <w:szCs w:val="22"/>
          <w:lang w:eastAsia="ar-SA"/>
        </w:rPr>
      </w:pPr>
      <w:r>
        <w:rPr>
          <w:rFonts w:ascii="Verdana" w:eastAsia="Arial Narrow" w:hAnsi="Verdana" w:cs="Arial Narrow"/>
          <w:sz w:val="22"/>
          <w:szCs w:val="22"/>
          <w:lang w:eastAsia="ar-SA"/>
        </w:rPr>
        <w:lastRenderedPageBreak/>
        <w:t>1. Cały obszar planu leży w terenie górniczym „Jaworzno-Jeleń” związanym z obszarem górniczym Jaworzno II w zasięgu płytkiej eksploatacji górniczej zakończonej w 1991 r.</w:t>
      </w:r>
    </w:p>
    <w:p w14:paraId="65EED012" w14:textId="77777777" w:rsidR="00A908AC" w:rsidRDefault="00A908AC">
      <w:pPr>
        <w:pStyle w:val="Standard"/>
        <w:tabs>
          <w:tab w:val="left" w:pos="-15"/>
        </w:tabs>
        <w:ind w:left="357"/>
        <w:jc w:val="both"/>
        <w:rPr>
          <w:rFonts w:ascii="Verdana" w:eastAsia="Arial Narrow" w:hAnsi="Verdana" w:cs="Arial Narrow"/>
          <w:sz w:val="22"/>
          <w:szCs w:val="22"/>
          <w:lang w:eastAsia="ar-SA"/>
        </w:rPr>
      </w:pPr>
      <w:r>
        <w:rPr>
          <w:rFonts w:ascii="Verdana" w:eastAsia="Arial Narrow" w:hAnsi="Verdana" w:cs="Arial Narrow"/>
          <w:sz w:val="22"/>
          <w:szCs w:val="22"/>
          <w:lang w:eastAsia="ar-SA"/>
        </w:rPr>
        <w:t>2. Na rysunku planu pokazano zasięg płytkiej, nieudokumentowanej eksploatacji w rejonie wychodni pokładu węgla (biedaszyby).</w:t>
      </w:r>
    </w:p>
    <w:p w14:paraId="15B13375" w14:textId="77777777" w:rsidR="00A908AC" w:rsidRDefault="00A908AC">
      <w:pPr>
        <w:pStyle w:val="Standard"/>
        <w:tabs>
          <w:tab w:val="left" w:pos="-15"/>
        </w:tabs>
        <w:ind w:left="357"/>
        <w:jc w:val="both"/>
        <w:rPr>
          <w:rFonts w:ascii="Verdana" w:eastAsia="Arial Narrow" w:hAnsi="Verdana" w:cs="Arial Narrow"/>
          <w:sz w:val="22"/>
          <w:szCs w:val="22"/>
          <w:lang w:eastAsia="ar-SA"/>
        </w:rPr>
      </w:pPr>
      <w:r>
        <w:rPr>
          <w:rFonts w:ascii="Verdana" w:eastAsia="Arial Narrow" w:hAnsi="Verdana" w:cs="Arial Narrow"/>
          <w:sz w:val="22"/>
          <w:szCs w:val="22"/>
          <w:lang w:eastAsia="ar-SA"/>
        </w:rPr>
        <w:t>3. Na całym obszarze planu występują duże zagrożenia deformacjami nieciągłymi.</w:t>
      </w:r>
    </w:p>
    <w:p w14:paraId="4A0FDF14" w14:textId="77777777" w:rsidR="00A908AC" w:rsidRDefault="00A908AC">
      <w:pPr>
        <w:pStyle w:val="Standard"/>
        <w:tabs>
          <w:tab w:val="left" w:pos="-15"/>
        </w:tabs>
        <w:ind w:left="357"/>
        <w:jc w:val="both"/>
        <w:rPr>
          <w:rFonts w:ascii="Verdana" w:eastAsia="Times New Roman" w:hAnsi="Verdana" w:cs="Arial Narrow"/>
          <w:sz w:val="22"/>
          <w:szCs w:val="22"/>
          <w:lang w:eastAsia="ar-SA"/>
        </w:rPr>
      </w:pPr>
      <w:r>
        <w:rPr>
          <w:rFonts w:ascii="Verdana" w:eastAsia="Arial Narrow" w:hAnsi="Verdana" w:cs="Arial Narrow"/>
          <w:sz w:val="22"/>
          <w:szCs w:val="22"/>
          <w:lang w:eastAsia="ar-SA"/>
        </w:rPr>
        <w:t>4. Lokalizacja obiektów budowlanych wymaga:</w:t>
      </w:r>
    </w:p>
    <w:p w14:paraId="5DEDD85B" w14:textId="77777777" w:rsidR="00A908AC" w:rsidRDefault="00A908AC">
      <w:pPr>
        <w:pStyle w:val="Standard"/>
        <w:tabs>
          <w:tab w:val="left" w:pos="717"/>
        </w:tabs>
        <w:ind w:left="567"/>
        <w:jc w:val="both"/>
        <w:rPr>
          <w:rFonts w:ascii="Verdana" w:eastAsia="Tahoma" w:hAnsi="Verdana" w:cs="Arial Narrow"/>
          <w:color w:val="000000"/>
          <w:sz w:val="22"/>
          <w:szCs w:val="22"/>
        </w:rPr>
      </w:pPr>
      <w:r>
        <w:rPr>
          <w:rFonts w:ascii="Verdana" w:eastAsia="Times New Roman" w:hAnsi="Verdana" w:cs="Arial Narrow"/>
          <w:sz w:val="22"/>
          <w:szCs w:val="22"/>
          <w:lang w:eastAsia="ar-SA"/>
        </w:rPr>
        <w:t xml:space="preserve">1) pełnej dokumentacji </w:t>
      </w:r>
      <w:proofErr w:type="spellStart"/>
      <w:r>
        <w:rPr>
          <w:rFonts w:ascii="Verdana" w:eastAsia="Times New Roman" w:hAnsi="Verdana" w:cs="Arial Narrow"/>
          <w:sz w:val="22"/>
          <w:szCs w:val="22"/>
          <w:lang w:eastAsia="ar-SA"/>
        </w:rPr>
        <w:t>geologiczno</w:t>
      </w:r>
      <w:proofErr w:type="spellEnd"/>
      <w:r>
        <w:rPr>
          <w:rFonts w:ascii="Verdana" w:eastAsia="Times New Roman" w:hAnsi="Verdana" w:cs="Arial Narrow"/>
          <w:sz w:val="22"/>
          <w:szCs w:val="22"/>
          <w:lang w:eastAsia="ar-SA"/>
        </w:rPr>
        <w:t xml:space="preserve"> – inżynierskiej z badaniami geofizyc</w:t>
      </w:r>
      <w:r>
        <w:rPr>
          <w:rFonts w:ascii="Verdana" w:eastAsia="Times New Roman" w:hAnsi="Verdana" w:cs="Arial Narrow"/>
          <w:sz w:val="22"/>
          <w:szCs w:val="22"/>
          <w:lang w:eastAsia="ar-SA"/>
        </w:rPr>
        <w:t>znymi (…).</w:t>
      </w:r>
    </w:p>
    <w:p w14:paraId="08920FF3" w14:textId="77777777" w:rsidR="00A908AC" w:rsidRDefault="00A908AC">
      <w:pPr>
        <w:pStyle w:val="Textbody"/>
        <w:tabs>
          <w:tab w:val="left" w:pos="-405"/>
        </w:tabs>
        <w:spacing w:before="120" w:after="0" w:line="240" w:lineRule="auto"/>
        <w:ind w:left="357"/>
        <w:jc w:val="both"/>
        <w:rPr>
          <w:rFonts w:ascii="Verdana" w:eastAsia="Arial" w:hAnsi="Verdana" w:cs="Arial Narrow"/>
          <w:sz w:val="22"/>
          <w:szCs w:val="22"/>
        </w:rPr>
      </w:pPr>
      <w:r>
        <w:rPr>
          <w:rFonts w:ascii="Verdana" w:eastAsia="Tahoma" w:hAnsi="Verdana" w:cs="Arial Narrow"/>
          <w:color w:val="000000"/>
          <w:sz w:val="22"/>
          <w:szCs w:val="22"/>
        </w:rPr>
        <w:t>Szczegółowe informacje w przedmiocie obowiązującego dla przedmiotowej nieruchomości planu zagospodarowania przestrz</w:t>
      </w:r>
      <w:r>
        <w:rPr>
          <w:rFonts w:ascii="Verdana" w:eastAsia="Arial" w:hAnsi="Verdana" w:cs="Arial Narrow"/>
          <w:sz w:val="22"/>
          <w:szCs w:val="22"/>
        </w:rPr>
        <w:t>ennego oraz dopuszczalnego sposobu jej zagospodarowania uzyskać można w Wydziale Urbanistyki i Architektury Urzędu Miejskiego w Jaworznie, ul. Grunwaldzka 52 (tel. 32 61 81 624).</w:t>
      </w:r>
    </w:p>
    <w:p w14:paraId="667A9E8A" w14:textId="77777777" w:rsidR="002C4253" w:rsidRPr="002C4253" w:rsidRDefault="002C4253" w:rsidP="002C4253">
      <w:pPr>
        <w:pStyle w:val="Textbodyindent1"/>
        <w:spacing w:before="120"/>
        <w:ind w:left="425" w:firstLine="0"/>
        <w:rPr>
          <w:rFonts w:ascii="Verdana" w:hAnsi="Verdana" w:cs="Calibri"/>
          <w:sz w:val="22"/>
          <w:szCs w:val="22"/>
        </w:rPr>
      </w:pPr>
      <w:r w:rsidRPr="005B7373">
        <w:rPr>
          <w:rFonts w:ascii="Verdana" w:hAnsi="Verdana" w:cs="Calibri"/>
          <w:b/>
          <w:bCs/>
          <w:sz w:val="22"/>
          <w:szCs w:val="22"/>
          <w:u w:val="single"/>
        </w:rPr>
        <w:t>Termin zagospodarowania nieruchomości:</w:t>
      </w:r>
      <w:r>
        <w:rPr>
          <w:rFonts w:ascii="Verdana" w:hAnsi="Verdana" w:cs="Calibri"/>
          <w:sz w:val="22"/>
          <w:szCs w:val="22"/>
        </w:rPr>
        <w:t xml:space="preserve"> wykonanie i oddanie do użytkowania obiektów w terminie 3 lat od wydania nieruchomości, potwierdzone decyzją pozwalającą na użytkowanie obiektu.</w:t>
      </w:r>
    </w:p>
    <w:p w14:paraId="0920F5FE" w14:textId="77777777" w:rsidR="00A908AC" w:rsidRDefault="00A908AC">
      <w:pPr>
        <w:pStyle w:val="Standard"/>
        <w:numPr>
          <w:ilvl w:val="0"/>
          <w:numId w:val="7"/>
        </w:numPr>
        <w:spacing w:before="120"/>
        <w:ind w:left="357" w:hanging="357"/>
        <w:jc w:val="both"/>
        <w:rPr>
          <w:rFonts w:ascii="Verdana" w:eastAsia="HG Mincho Light J" w:hAnsi="Verdana" w:cs="Verdana"/>
          <w:b/>
          <w:bCs/>
          <w:sz w:val="22"/>
          <w:szCs w:val="22"/>
        </w:rPr>
      </w:pPr>
      <w:r>
        <w:rPr>
          <w:rFonts w:ascii="Verdana" w:eastAsia="Times New Roman" w:hAnsi="Verdana" w:cs="Verdana"/>
          <w:b/>
          <w:bCs/>
          <w:spacing w:val="-6"/>
          <w:sz w:val="22"/>
          <w:szCs w:val="22"/>
        </w:rPr>
        <w:t>Przetarg na sprzedaż</w:t>
      </w:r>
      <w:r>
        <w:rPr>
          <w:rFonts w:ascii="Verdana" w:eastAsia="Times New Roman" w:hAnsi="Verdana" w:cs="Verdana"/>
          <w:spacing w:val="-6"/>
          <w:sz w:val="22"/>
          <w:szCs w:val="22"/>
        </w:rPr>
        <w:t xml:space="preserve"> </w:t>
      </w:r>
      <w:r>
        <w:rPr>
          <w:rFonts w:ascii="Verdana" w:hAnsi="Verdana" w:cs="Verdana"/>
          <w:b/>
          <w:sz w:val="22"/>
          <w:szCs w:val="22"/>
        </w:rPr>
        <w:t>nieruchomości odbędzie się</w:t>
      </w:r>
      <w:r>
        <w:rPr>
          <w:rFonts w:ascii="Verdana" w:hAnsi="Verdana" w:cs="Verdana"/>
          <w:sz w:val="22"/>
          <w:szCs w:val="22"/>
        </w:rPr>
        <w:t xml:space="preserve"> </w:t>
      </w:r>
      <w:r>
        <w:rPr>
          <w:rFonts w:ascii="Verdana" w:hAnsi="Verdana" w:cs="Verdana"/>
          <w:b/>
          <w:bCs/>
          <w:sz w:val="22"/>
          <w:szCs w:val="22"/>
        </w:rPr>
        <w:t>w dniu 03.04.2025 r. o godz. 10.00</w:t>
      </w:r>
      <w:r>
        <w:rPr>
          <w:rFonts w:ascii="Verdana" w:hAnsi="Verdana" w:cs="Verdana"/>
          <w:sz w:val="22"/>
          <w:szCs w:val="22"/>
        </w:rPr>
        <w:t xml:space="preserve"> </w:t>
      </w:r>
      <w:r>
        <w:rPr>
          <w:rFonts w:ascii="Verdana" w:hAnsi="Verdana" w:cs="Verdana"/>
          <w:b/>
          <w:bCs/>
          <w:sz w:val="22"/>
          <w:szCs w:val="22"/>
        </w:rPr>
        <w:t>w siedzibie</w:t>
      </w:r>
      <w:r>
        <w:rPr>
          <w:rFonts w:ascii="Verdana" w:hAnsi="Verdana" w:cs="Verdana"/>
          <w:sz w:val="22"/>
          <w:szCs w:val="22"/>
        </w:rPr>
        <w:t xml:space="preserve"> </w:t>
      </w:r>
      <w:r>
        <w:rPr>
          <w:rFonts w:ascii="Verdana" w:hAnsi="Verdana" w:cs="Verdana"/>
          <w:b/>
          <w:bCs/>
          <w:sz w:val="22"/>
          <w:szCs w:val="22"/>
        </w:rPr>
        <w:t>Katowickiej Specjalnej Strefy</w:t>
      </w:r>
      <w:r>
        <w:rPr>
          <w:rFonts w:ascii="Verdana" w:hAnsi="Verdana" w:cs="Verdana"/>
          <w:sz w:val="22"/>
          <w:szCs w:val="22"/>
        </w:rPr>
        <w:t xml:space="preserve"> </w:t>
      </w:r>
      <w:r>
        <w:rPr>
          <w:rFonts w:ascii="Verdana" w:hAnsi="Verdana" w:cs="Verdana"/>
          <w:b/>
          <w:bCs/>
          <w:sz w:val="22"/>
          <w:szCs w:val="22"/>
        </w:rPr>
        <w:t>Ekonomicznej S.A. w Katowicach przy ul. Wojewódzkiej 42.</w:t>
      </w:r>
    </w:p>
    <w:p w14:paraId="5089CD4A" w14:textId="77777777" w:rsidR="00A908AC" w:rsidRDefault="00A908AC">
      <w:pPr>
        <w:pStyle w:val="Standard"/>
        <w:numPr>
          <w:ilvl w:val="0"/>
          <w:numId w:val="7"/>
        </w:numPr>
        <w:ind w:left="357" w:hanging="357"/>
        <w:jc w:val="both"/>
        <w:rPr>
          <w:rStyle w:val="Brak"/>
          <w:rFonts w:ascii="Verdana" w:hAnsi="Verdana" w:cs="Verdana"/>
          <w:b/>
          <w:bCs/>
          <w:spacing w:val="-6"/>
          <w:sz w:val="22"/>
          <w:szCs w:val="22"/>
        </w:rPr>
      </w:pPr>
      <w:r>
        <w:rPr>
          <w:rFonts w:ascii="Verdana" w:eastAsia="HG Mincho Light J" w:hAnsi="Verdana" w:cs="Verdana"/>
          <w:b/>
          <w:bCs/>
          <w:sz w:val="22"/>
          <w:szCs w:val="22"/>
        </w:rPr>
        <w:t xml:space="preserve">Cena wywoławcza nieruchomości: 1.323.000,00 zł netto </w:t>
      </w:r>
      <w:r>
        <w:rPr>
          <w:rFonts w:ascii="Verdana" w:eastAsia="HG Mincho Light J" w:hAnsi="Verdana" w:cs="Verdana"/>
          <w:bCs/>
          <w:sz w:val="22"/>
          <w:szCs w:val="22"/>
        </w:rPr>
        <w:t>(</w:t>
      </w:r>
      <w:r>
        <w:rPr>
          <w:rFonts w:ascii="Verdana" w:hAnsi="Verdana" w:cs="Verdana"/>
          <w:sz w:val="22"/>
          <w:szCs w:val="22"/>
        </w:rPr>
        <w:t>jeden milion trzysta dwadzieścia trzy tysiące złotych).</w:t>
      </w:r>
    </w:p>
    <w:p w14:paraId="51957CAE" w14:textId="77777777" w:rsidR="00A908AC" w:rsidRDefault="00A908AC">
      <w:pPr>
        <w:pStyle w:val="Standarduser"/>
        <w:tabs>
          <w:tab w:val="left" w:pos="3000"/>
        </w:tabs>
        <w:ind w:left="357"/>
        <w:jc w:val="both"/>
        <w:rPr>
          <w:rStyle w:val="Brak"/>
          <w:rFonts w:ascii="Verdana" w:hAnsi="Verdana" w:cs="Verdana"/>
          <w:b/>
          <w:bCs/>
          <w:sz w:val="22"/>
          <w:szCs w:val="22"/>
        </w:rPr>
      </w:pPr>
      <w:r>
        <w:rPr>
          <w:rStyle w:val="Brak"/>
          <w:rFonts w:ascii="Verdana" w:hAnsi="Verdana" w:cs="Verdana"/>
          <w:b/>
          <w:bCs/>
          <w:spacing w:val="-6"/>
          <w:sz w:val="22"/>
          <w:szCs w:val="22"/>
        </w:rPr>
        <w:t>Dostawa części działki położonej w strefie 1PU – opodatkowana VAT, dostawa części działki w strefie 2ZP – zwolniona z podatku VAT.</w:t>
      </w:r>
    </w:p>
    <w:p w14:paraId="6EDCEF28" w14:textId="77777777" w:rsidR="00A908AC" w:rsidRDefault="00A908AC">
      <w:pPr>
        <w:pStyle w:val="Standard"/>
        <w:ind w:left="357"/>
        <w:jc w:val="both"/>
        <w:rPr>
          <w:rFonts w:ascii="Verdana" w:eastAsia="Times New Roman" w:hAnsi="Verdana" w:cs="Verdana"/>
          <w:b/>
          <w:bCs/>
          <w:spacing w:val="-6"/>
          <w:sz w:val="22"/>
          <w:szCs w:val="22"/>
        </w:rPr>
      </w:pPr>
      <w:r>
        <w:rPr>
          <w:rStyle w:val="Brak"/>
          <w:rFonts w:ascii="Verdana" w:hAnsi="Verdana" w:cs="Verdana"/>
          <w:b/>
          <w:bCs/>
          <w:sz w:val="22"/>
          <w:szCs w:val="22"/>
        </w:rPr>
        <w:t>Oferowana cena nabycia nieruchomości musi być wyższa od ceny wywoławczej.</w:t>
      </w:r>
    </w:p>
    <w:p w14:paraId="2CCFCA78" w14:textId="77777777" w:rsidR="00A908AC" w:rsidRDefault="00A908AC">
      <w:pPr>
        <w:pStyle w:val="Standard"/>
        <w:numPr>
          <w:ilvl w:val="0"/>
          <w:numId w:val="7"/>
        </w:numPr>
        <w:ind w:left="357" w:hanging="357"/>
        <w:jc w:val="both"/>
        <w:rPr>
          <w:rFonts w:ascii="Verdana" w:eastAsia="Times New Roman" w:hAnsi="Verdana" w:cs="Verdana"/>
          <w:sz w:val="22"/>
          <w:szCs w:val="22"/>
        </w:rPr>
      </w:pPr>
      <w:r>
        <w:rPr>
          <w:rFonts w:ascii="Verdana" w:eastAsia="Times New Roman" w:hAnsi="Verdana" w:cs="Verdana"/>
          <w:b/>
          <w:bCs/>
          <w:spacing w:val="-6"/>
          <w:sz w:val="22"/>
          <w:szCs w:val="22"/>
        </w:rPr>
        <w:t>Warunki uczestnictwa w przetargu:</w:t>
      </w:r>
    </w:p>
    <w:p w14:paraId="3A9717AA" w14:textId="77777777" w:rsidR="00A908AC" w:rsidRDefault="00A908AC">
      <w:pPr>
        <w:pStyle w:val="Standard"/>
        <w:numPr>
          <w:ilvl w:val="0"/>
          <w:numId w:val="4"/>
        </w:numPr>
        <w:ind w:left="714" w:hanging="357"/>
        <w:jc w:val="both"/>
        <w:rPr>
          <w:rFonts w:ascii="Verdana" w:eastAsia="Times New Roman" w:hAnsi="Verdana" w:cs="Verdana"/>
          <w:sz w:val="22"/>
          <w:szCs w:val="22"/>
        </w:rPr>
      </w:pPr>
      <w:r>
        <w:rPr>
          <w:rFonts w:ascii="Verdana" w:eastAsia="Times New Roman" w:hAnsi="Verdana" w:cs="Verdana"/>
          <w:sz w:val="22"/>
          <w:szCs w:val="22"/>
        </w:rPr>
        <w:t xml:space="preserve">Złożenie pisemnej oferty w dwóch egzemplarzach w zaklejonej kopercie z napisem: „Przetarg – prawo własności działki nr 4562 </w:t>
      </w:r>
      <w:proofErr w:type="spellStart"/>
      <w:r>
        <w:rPr>
          <w:rFonts w:ascii="Verdana" w:eastAsia="Times New Roman" w:hAnsi="Verdana" w:cs="Verdana"/>
          <w:sz w:val="22"/>
          <w:szCs w:val="22"/>
        </w:rPr>
        <w:t>obr</w:t>
      </w:r>
      <w:proofErr w:type="spellEnd"/>
      <w:r>
        <w:rPr>
          <w:rFonts w:ascii="Verdana" w:eastAsia="Times New Roman" w:hAnsi="Verdana" w:cs="Verdana"/>
          <w:sz w:val="22"/>
          <w:szCs w:val="22"/>
        </w:rPr>
        <w:t xml:space="preserve">. geod. 1026 m. Jaworzna” w </w:t>
      </w:r>
      <w:r>
        <w:rPr>
          <w:rFonts w:ascii="Verdana" w:eastAsia="Times New Roman" w:hAnsi="Verdana" w:cs="Times New Roman"/>
          <w:sz w:val="22"/>
          <w:szCs w:val="22"/>
        </w:rPr>
        <w:t>siedzibie organizatora przetargu w Katowicach przy ul. Wojewódzkiej 42</w:t>
      </w:r>
      <w:r>
        <w:rPr>
          <w:rFonts w:ascii="Verdana" w:eastAsia="Times New Roman" w:hAnsi="Verdana" w:cs="Verdana"/>
          <w:sz w:val="22"/>
          <w:szCs w:val="22"/>
        </w:rPr>
        <w:t xml:space="preserve">, w terminie do dnia </w:t>
      </w:r>
      <w:r>
        <w:rPr>
          <w:rFonts w:ascii="Verdana" w:eastAsia="Times New Roman" w:hAnsi="Verdana" w:cs="Verdana"/>
          <w:b/>
          <w:bCs/>
          <w:sz w:val="22"/>
          <w:szCs w:val="22"/>
        </w:rPr>
        <w:t>28.03.2025 r. d</w:t>
      </w:r>
      <w:r>
        <w:rPr>
          <w:rFonts w:ascii="Verdana" w:eastAsia="Times New Roman" w:hAnsi="Verdana" w:cs="Verdana"/>
          <w:b/>
          <w:bCs/>
          <w:sz w:val="22"/>
          <w:szCs w:val="22"/>
        </w:rPr>
        <w:t>o godz. 16:00.</w:t>
      </w:r>
    </w:p>
    <w:p w14:paraId="5173A5D4" w14:textId="77777777" w:rsidR="00A908AC" w:rsidRDefault="00A908AC">
      <w:pPr>
        <w:pStyle w:val="Standard"/>
        <w:numPr>
          <w:ilvl w:val="0"/>
          <w:numId w:val="4"/>
        </w:numPr>
        <w:ind w:left="714" w:hanging="357"/>
        <w:jc w:val="both"/>
        <w:rPr>
          <w:rFonts w:ascii="Verdana" w:hAnsi="Verdana" w:cs="Verdana"/>
          <w:bCs/>
          <w:sz w:val="22"/>
          <w:szCs w:val="22"/>
        </w:rPr>
      </w:pPr>
      <w:r>
        <w:rPr>
          <w:rFonts w:ascii="Verdana" w:eastAsia="Times New Roman" w:hAnsi="Verdana" w:cs="Verdana"/>
          <w:sz w:val="22"/>
          <w:szCs w:val="22"/>
        </w:rPr>
        <w:t xml:space="preserve">Wniesienie wadium w pieniądzu w wysokości </w:t>
      </w:r>
      <w:r>
        <w:rPr>
          <w:rFonts w:ascii="Verdana" w:eastAsia="Times New Roman" w:hAnsi="Verdana" w:cs="Verdana"/>
          <w:b/>
          <w:bCs/>
          <w:sz w:val="22"/>
          <w:szCs w:val="22"/>
        </w:rPr>
        <w:t>198.450,00 zł</w:t>
      </w:r>
      <w:r>
        <w:rPr>
          <w:rFonts w:ascii="Verdana" w:eastAsia="Times New Roman" w:hAnsi="Verdana" w:cs="Verdana"/>
          <w:sz w:val="22"/>
          <w:szCs w:val="22"/>
        </w:rPr>
        <w:t xml:space="preserve"> (słownie: sto dziewięćdziesiąt osiem tysięcy czterysta pięćdziesiąt złotych), na rachunek bankowy Urzędu Miejskiego w Jaworznie, prowadzony</w:t>
      </w:r>
      <w:r>
        <w:rPr>
          <w:rFonts w:ascii="Verdana" w:eastAsia="Times New Roman" w:hAnsi="Verdana" w:cs="Verdana"/>
          <w:b/>
          <w:bCs/>
          <w:sz w:val="22"/>
          <w:szCs w:val="22"/>
        </w:rPr>
        <w:t xml:space="preserve"> w Banku Handlowym w Warszawie S.A. NRB 51 1030 1159 0000 0000 9206 6029 SUMY DEPOZYTOWE, z dopiskiem: „Przetarg pisemny – działka nr 4562 </w:t>
      </w:r>
      <w:proofErr w:type="spellStart"/>
      <w:r>
        <w:rPr>
          <w:rFonts w:ascii="Verdana" w:eastAsia="Times New Roman" w:hAnsi="Verdana" w:cs="Verdana"/>
          <w:b/>
          <w:bCs/>
          <w:sz w:val="22"/>
          <w:szCs w:val="22"/>
        </w:rPr>
        <w:t>obr</w:t>
      </w:r>
      <w:proofErr w:type="spellEnd"/>
      <w:r>
        <w:rPr>
          <w:rFonts w:ascii="Verdana" w:eastAsia="Times New Roman" w:hAnsi="Verdana" w:cs="Verdana"/>
          <w:b/>
          <w:bCs/>
          <w:sz w:val="22"/>
          <w:szCs w:val="22"/>
        </w:rPr>
        <w:t>. 1026” w terminie do dnia 28.03.2025 r. Za potwierdzenie wpłaty przyjmuje się datę uznania rachunku bankowego Urzędu Miejskiego w Jaworznie.</w:t>
      </w:r>
    </w:p>
    <w:p w14:paraId="5CADA462" w14:textId="77777777" w:rsidR="00A908AC" w:rsidRDefault="00A908AC">
      <w:pPr>
        <w:pStyle w:val="Standarduser"/>
        <w:ind w:left="717"/>
        <w:jc w:val="both"/>
        <w:rPr>
          <w:rFonts w:ascii="Verdana" w:hAnsi="Verdana" w:cs="Verdana"/>
          <w:sz w:val="22"/>
          <w:szCs w:val="22"/>
        </w:rPr>
      </w:pPr>
      <w:r>
        <w:rPr>
          <w:rFonts w:ascii="Verdana" w:hAnsi="Verdana" w:cs="Verdana"/>
          <w:bCs/>
          <w:sz w:val="22"/>
          <w:szCs w:val="22"/>
        </w:rPr>
        <w:t>Wadium wniesione w pieniądzu przez uczestnika przetargu, który przetarg wyg</w:t>
      </w:r>
      <w:r>
        <w:rPr>
          <w:rFonts w:ascii="Verdana" w:hAnsi="Verdana" w:cs="Verdana"/>
          <w:bCs/>
          <w:sz w:val="22"/>
          <w:szCs w:val="22"/>
        </w:rPr>
        <w:t xml:space="preserve">ra, zalicza się na poczet ceny nabycia nieruchomości. </w:t>
      </w:r>
      <w:r>
        <w:rPr>
          <w:rFonts w:ascii="Verdana" w:hAnsi="Verdana" w:cs="Verdana"/>
          <w:sz w:val="22"/>
          <w:szCs w:val="22"/>
        </w:rPr>
        <w:t>Pozostałym uczestnikom przetargu wadium zostanie zwrócone niezwłocznie, nie później niż przed upływem 3 dni od dnia odwołania, zamknięcia, unieważnienia lub zakończenia przetargu wynikiem negatywnym.</w:t>
      </w:r>
    </w:p>
    <w:p w14:paraId="0C8832CC" w14:textId="77777777" w:rsidR="00A908AC" w:rsidRDefault="00A908AC">
      <w:pPr>
        <w:pStyle w:val="Standarduser"/>
        <w:ind w:left="717"/>
        <w:jc w:val="both"/>
        <w:rPr>
          <w:rFonts w:ascii="Verdana" w:eastAsia="Times New Roman" w:hAnsi="Verdana" w:cs="Verdana"/>
          <w:b/>
          <w:bCs/>
          <w:spacing w:val="-6"/>
          <w:sz w:val="22"/>
          <w:szCs w:val="22"/>
        </w:rPr>
      </w:pPr>
      <w:r>
        <w:rPr>
          <w:rFonts w:ascii="Verdana" w:hAnsi="Verdana" w:cs="Verdana"/>
          <w:sz w:val="22"/>
          <w:szCs w:val="22"/>
        </w:rPr>
        <w:t>W przypadku gdy uczestnik, który przetarg wygra nie przystąpi bez usprawiedliwienia do zawarcia umowy sprzedaży w formie aktu notarialnego, w ustalonym miejscu i terminie lub przystąpi, ale jej nie podpisze, Prezydent Miasta Jaworzna może odstąpić od zawarci</w:t>
      </w:r>
      <w:r>
        <w:rPr>
          <w:rFonts w:ascii="Verdana" w:hAnsi="Verdana" w:cs="Verdana"/>
          <w:sz w:val="22"/>
          <w:szCs w:val="22"/>
        </w:rPr>
        <w:t>a umowy, a wpłacone wadium nie podlega zwrotowi.</w:t>
      </w:r>
    </w:p>
    <w:p w14:paraId="601184DD" w14:textId="77777777" w:rsidR="00A908AC" w:rsidRDefault="00A908AC">
      <w:pPr>
        <w:pStyle w:val="Standard"/>
        <w:numPr>
          <w:ilvl w:val="0"/>
          <w:numId w:val="7"/>
        </w:numPr>
        <w:ind w:left="357" w:hanging="357"/>
        <w:jc w:val="both"/>
        <w:rPr>
          <w:rFonts w:ascii="Verdana" w:eastAsia="Times New Roman" w:hAnsi="Verdana" w:cs="Verdana"/>
          <w:b/>
          <w:bCs/>
          <w:sz w:val="22"/>
          <w:szCs w:val="22"/>
        </w:rPr>
      </w:pPr>
      <w:r>
        <w:rPr>
          <w:rFonts w:ascii="Verdana" w:eastAsia="Times New Roman" w:hAnsi="Verdana" w:cs="Verdana"/>
          <w:b/>
          <w:bCs/>
          <w:spacing w:val="-6"/>
          <w:sz w:val="22"/>
          <w:szCs w:val="22"/>
        </w:rPr>
        <w:t>Tryb przeprowadzenia przetargu:</w:t>
      </w:r>
    </w:p>
    <w:p w14:paraId="1B22FA70" w14:textId="77777777" w:rsidR="00A908AC" w:rsidRDefault="00A908AC">
      <w:pPr>
        <w:pStyle w:val="Standard"/>
        <w:ind w:left="357"/>
        <w:jc w:val="both"/>
        <w:rPr>
          <w:rFonts w:ascii="Verdana" w:eastAsia="Times New Roman" w:hAnsi="Verdana" w:cs="Verdana"/>
          <w:b/>
          <w:bCs/>
          <w:sz w:val="22"/>
          <w:szCs w:val="22"/>
        </w:rPr>
      </w:pPr>
      <w:r>
        <w:rPr>
          <w:rFonts w:ascii="Verdana" w:eastAsia="Times New Roman" w:hAnsi="Verdana" w:cs="Verdana"/>
          <w:b/>
          <w:bCs/>
          <w:sz w:val="22"/>
          <w:szCs w:val="22"/>
        </w:rPr>
        <w:t>Przetarg składa się z dwóch części.</w:t>
      </w:r>
    </w:p>
    <w:p w14:paraId="27EE6099" w14:textId="77777777" w:rsidR="00A908AC" w:rsidRDefault="00A908AC">
      <w:pPr>
        <w:pStyle w:val="Standard"/>
        <w:ind w:left="357"/>
        <w:jc w:val="both"/>
        <w:rPr>
          <w:rFonts w:ascii="Verdana" w:eastAsia="Times New Roman" w:hAnsi="Verdana" w:cs="Verdana"/>
          <w:sz w:val="22"/>
          <w:szCs w:val="22"/>
        </w:rPr>
      </w:pPr>
      <w:r>
        <w:rPr>
          <w:rFonts w:ascii="Verdana" w:eastAsia="Times New Roman" w:hAnsi="Verdana" w:cs="Verdana"/>
          <w:b/>
          <w:bCs/>
          <w:sz w:val="22"/>
          <w:szCs w:val="22"/>
        </w:rPr>
        <w:t xml:space="preserve">Część jawna przetargu, tj. otwarcie ofert, ich ocena formalna i ogłoszenie podmiotów zakwalifikowanych do części niejawnej przetargu odbędzie się </w:t>
      </w:r>
      <w:r>
        <w:rPr>
          <w:rFonts w:ascii="Verdana" w:eastAsia="Times New Roman" w:hAnsi="Verdana" w:cs="Verdana"/>
          <w:b/>
          <w:bCs/>
          <w:sz w:val="22"/>
          <w:szCs w:val="22"/>
        </w:rPr>
        <w:lastRenderedPageBreak/>
        <w:t>w dniu 03.04.2025 r. o godz. 10:00 w siedzibie Katowickiej Specjalnej Strefy Ekonomicznej S.A. w Katowicach przy ul. Wojewódzkiej 42.</w:t>
      </w:r>
    </w:p>
    <w:p w14:paraId="7EFC931D" w14:textId="77777777" w:rsidR="00A908AC" w:rsidRDefault="00A908AC">
      <w:pPr>
        <w:pStyle w:val="Standard"/>
        <w:ind w:left="357"/>
        <w:jc w:val="both"/>
        <w:rPr>
          <w:rFonts w:ascii="Verdana" w:eastAsia="Times New Roman" w:hAnsi="Verdana" w:cs="Verdana"/>
          <w:b/>
          <w:bCs/>
          <w:sz w:val="22"/>
          <w:szCs w:val="22"/>
        </w:rPr>
      </w:pPr>
      <w:r>
        <w:rPr>
          <w:rFonts w:ascii="Verdana" w:eastAsia="Times New Roman" w:hAnsi="Verdana" w:cs="Verdana"/>
          <w:sz w:val="22"/>
          <w:szCs w:val="22"/>
        </w:rPr>
        <w:t>Podczas części jawnej przetargu, w obecności oferentów, komisja poda informację o złożonych ofertach, dokona otwarcia kopert z ofertami, sprawdzi kompletność złożonych ofert oraz tożsamość osób, które złożyły oferty i ogłosi czy oferty zostały zakwalifikowane do części niejawnej przetargu. Komisja zawiadomi oferentów o terminie i miejscu części niejawnej przetargu oraz o prze</w:t>
      </w:r>
      <w:r>
        <w:rPr>
          <w:rFonts w:ascii="Verdana" w:eastAsia="Times New Roman" w:hAnsi="Verdana" w:cs="Verdana"/>
          <w:sz w:val="22"/>
          <w:szCs w:val="22"/>
        </w:rPr>
        <w:t>widywanym terminie zamknięcia przetargu.</w:t>
      </w:r>
    </w:p>
    <w:p w14:paraId="3AA4AEF4" w14:textId="77777777" w:rsidR="00A908AC" w:rsidRDefault="00A908AC">
      <w:pPr>
        <w:pStyle w:val="Standard"/>
        <w:ind w:left="357"/>
        <w:jc w:val="both"/>
        <w:rPr>
          <w:rFonts w:ascii="Verdana" w:eastAsia="Times New Roman" w:hAnsi="Verdana" w:cs="Verdana"/>
          <w:sz w:val="22"/>
          <w:szCs w:val="22"/>
        </w:rPr>
      </w:pPr>
      <w:r>
        <w:rPr>
          <w:rFonts w:ascii="Verdana" w:eastAsia="Times New Roman" w:hAnsi="Verdana" w:cs="Verdana"/>
          <w:b/>
          <w:bCs/>
          <w:sz w:val="22"/>
          <w:szCs w:val="22"/>
        </w:rPr>
        <w:t>W części niejawnej przetargu</w:t>
      </w:r>
      <w:r>
        <w:rPr>
          <w:rFonts w:ascii="Verdana" w:eastAsia="Times New Roman" w:hAnsi="Verdana" w:cs="Verdana"/>
          <w:sz w:val="22"/>
          <w:szCs w:val="22"/>
        </w:rPr>
        <w:t xml:space="preserve"> Komisja ocenia zgłoszone oferty. Ocena zamierzeń, co do przedsięwzięć gospodarczych planowanych do realizacji na nieruchomości, przedstawionych w ofertach oraz wybór oferty dokonane są przez Komisję w oparciu o kryteria oceny określone w ogłoszeniu.</w:t>
      </w:r>
    </w:p>
    <w:p w14:paraId="5AD8A460" w14:textId="77777777" w:rsidR="00A908AC" w:rsidRDefault="00A908AC">
      <w:pPr>
        <w:pStyle w:val="Standard"/>
        <w:ind w:left="357"/>
        <w:jc w:val="both"/>
        <w:rPr>
          <w:rFonts w:ascii="Verdana" w:eastAsia="Times New Roman" w:hAnsi="Verdana" w:cs="Verdana"/>
          <w:sz w:val="22"/>
          <w:szCs w:val="22"/>
        </w:rPr>
      </w:pPr>
      <w:r>
        <w:rPr>
          <w:rFonts w:ascii="Verdana" w:eastAsia="Times New Roman" w:hAnsi="Verdana" w:cs="Verdana"/>
          <w:sz w:val="22"/>
          <w:szCs w:val="22"/>
        </w:rPr>
        <w:t>Przetarg uważa się za zamknięty z chwilą podpisania protokołu.</w:t>
      </w:r>
    </w:p>
    <w:p w14:paraId="4426D9A1" w14:textId="77777777" w:rsidR="00A908AC" w:rsidRDefault="00A908AC">
      <w:pPr>
        <w:pStyle w:val="Standard"/>
        <w:ind w:left="357"/>
        <w:jc w:val="both"/>
        <w:rPr>
          <w:rFonts w:ascii="Verdana" w:eastAsia="Times New Roman" w:hAnsi="Verdana" w:cs="Verdana"/>
          <w:b/>
          <w:bCs/>
          <w:sz w:val="22"/>
          <w:szCs w:val="22"/>
        </w:rPr>
      </w:pPr>
      <w:r>
        <w:rPr>
          <w:rFonts w:ascii="Verdana" w:eastAsia="Times New Roman" w:hAnsi="Verdana" w:cs="Verdana"/>
          <w:sz w:val="22"/>
          <w:szCs w:val="22"/>
        </w:rPr>
        <w:t>Przewodniczący komisji przetargowej zawiadamia na piśmie wszystkich, którzy złożyli oferty, o wyniku przetargu w terminie nie dłuższym niż 3 dni od dnia zamknięcia przetargu.</w:t>
      </w:r>
    </w:p>
    <w:p w14:paraId="2177DEC4" w14:textId="77777777" w:rsidR="00A908AC" w:rsidRDefault="00A908AC">
      <w:pPr>
        <w:pStyle w:val="Standard"/>
        <w:numPr>
          <w:ilvl w:val="0"/>
          <w:numId w:val="7"/>
        </w:numPr>
        <w:ind w:left="357" w:hanging="357"/>
        <w:jc w:val="both"/>
        <w:rPr>
          <w:rFonts w:ascii="Verdana" w:eastAsia="Times New Roman" w:hAnsi="Verdana" w:cs="Verdana"/>
          <w:sz w:val="22"/>
          <w:szCs w:val="22"/>
        </w:rPr>
      </w:pPr>
      <w:r>
        <w:rPr>
          <w:rFonts w:ascii="Verdana" w:eastAsia="Times New Roman" w:hAnsi="Verdana" w:cs="Verdana"/>
          <w:b/>
          <w:bCs/>
          <w:sz w:val="22"/>
          <w:szCs w:val="22"/>
        </w:rPr>
        <w:t>Sposób przygotowania oferty:</w:t>
      </w:r>
    </w:p>
    <w:p w14:paraId="0EA9C08D" w14:textId="77777777" w:rsidR="00A908AC" w:rsidRDefault="00A908AC">
      <w:pPr>
        <w:pStyle w:val="Standard"/>
        <w:ind w:left="357"/>
        <w:jc w:val="both"/>
        <w:rPr>
          <w:rFonts w:ascii="Verdana" w:eastAsia="Times New Roman" w:hAnsi="Verdana" w:cs="Verdana"/>
          <w:sz w:val="22"/>
          <w:szCs w:val="22"/>
        </w:rPr>
      </w:pPr>
      <w:r>
        <w:rPr>
          <w:rFonts w:ascii="Verdana" w:eastAsia="Times New Roman" w:hAnsi="Verdana" w:cs="Verdana"/>
          <w:sz w:val="22"/>
          <w:szCs w:val="22"/>
        </w:rPr>
        <w:t>Oferta musi zawierać:</w:t>
      </w:r>
    </w:p>
    <w:p w14:paraId="214C8F4E" w14:textId="77777777" w:rsidR="00A908AC" w:rsidRDefault="00A908AC">
      <w:pPr>
        <w:pStyle w:val="Standard"/>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Imię, nazwisko i adres Oferenta - w przypadku osób fizycznych, nazwę i siedzibę Oferenta – w przypadku innych podmiotów, numer NIP, wyciąg z właściwego dla danego podmiotu rejestru;</w:t>
      </w:r>
    </w:p>
    <w:p w14:paraId="11227204" w14:textId="77777777" w:rsidR="00A908AC" w:rsidRDefault="00A908AC">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Zgodę organów statutowych na nabycie nieruchomości objętej przetargiem;</w:t>
      </w:r>
    </w:p>
    <w:p w14:paraId="717CAC49" w14:textId="77777777" w:rsidR="00A908AC" w:rsidRDefault="00A908AC">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Datę sporządzenia oferty;</w:t>
      </w:r>
    </w:p>
    <w:p w14:paraId="56EA6C7F" w14:textId="77777777" w:rsidR="00A908AC" w:rsidRDefault="00A908AC">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Koncepcję zagospodarowania nieruchomości stanowiącej przedmiot przetargu wraz z opisem planowanej działalności;</w:t>
      </w:r>
    </w:p>
    <w:p w14:paraId="7A512743" w14:textId="77777777" w:rsidR="00A908AC" w:rsidRDefault="00A908AC">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Dowód wniesienia wadium w oddzielnej, zaklejonej kopercie;</w:t>
      </w:r>
    </w:p>
    <w:p w14:paraId="165C4175" w14:textId="77777777" w:rsidR="00A908AC" w:rsidRDefault="00A908AC">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Oferowaną cenę wyższą od ceny wywoławczej,</w:t>
      </w:r>
    </w:p>
    <w:p w14:paraId="6C47F2C1" w14:textId="77777777" w:rsidR="00A908AC" w:rsidRDefault="00A908AC">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Oświadczenie o prowadzonej dotychczas działalności, w tym o zrealizowanych projektach inwestycyjnych;</w:t>
      </w:r>
    </w:p>
    <w:p w14:paraId="1F38BA5F" w14:textId="77777777" w:rsidR="00A908AC" w:rsidRDefault="00A908AC">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Oświadczenie, że Oferent zapoznał się z warunkami przetargu i przyjmuje te warunki bez zastrzeżeń;</w:t>
      </w:r>
    </w:p>
    <w:p w14:paraId="5E52837C" w14:textId="77777777" w:rsidR="00A908AC" w:rsidRDefault="00A908AC">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Oświadczenie Oferenta o zapoznaniu się z ogłoszeniem o przetargu;</w:t>
      </w:r>
    </w:p>
    <w:p w14:paraId="1E8B15FF" w14:textId="77777777" w:rsidR="00A908AC" w:rsidRDefault="00A908AC">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Oświadczenie Oferenta o zapoznaniu się z treścią ustaleń miejscowego planu zagospodarowania przestrzennego;</w:t>
      </w:r>
    </w:p>
    <w:p w14:paraId="58D7AB55" w14:textId="77777777" w:rsidR="00A908AC" w:rsidRDefault="00A908AC">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Oświadczenie, iż Oferent zapoznał się ze stanem prawnym i faktycznym nieruchomości będącej przedmiotem przetargu i nie wnosi do niego żadnych zastrzeżeń oraz wyraża zgodę na wyłączenie rękojmi za wady fizyczne nieruchomości na zasadzie art. 558 § 1 KC;</w:t>
      </w:r>
    </w:p>
    <w:p w14:paraId="64D4B198" w14:textId="77777777" w:rsidR="00A908AC" w:rsidRDefault="00A908AC">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Oświadczenie, że przeciwko Oferentowi ani członkom jego Zarządu toczy / nie toczy się postępowanie karne / karno-skarbowe / egzekucyjne;</w:t>
      </w:r>
    </w:p>
    <w:p w14:paraId="4EAE0CA1" w14:textId="77777777" w:rsidR="00A908AC" w:rsidRDefault="00A908AC">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Oświadczenie, iż Oferent nie zalega w Rzeczpospolitej Polskiej z wpłatami z tytułu składek na rzecz ZUS oraz podatków;</w:t>
      </w:r>
    </w:p>
    <w:p w14:paraId="0627525C" w14:textId="77777777" w:rsidR="00A908AC" w:rsidRDefault="00A908AC">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Oświadczenie, iż Oferent poniesie wszelkie koszty, podatki i opłaty związane z zawarciem umowy sprzedaży;</w:t>
      </w:r>
    </w:p>
    <w:p w14:paraId="2D8F4D0B" w14:textId="77777777" w:rsidR="00A908AC" w:rsidRDefault="00A908AC">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Oświadczenie Oferenta, że jego sytuacja ekonomiczna i finansowa, w szczególności posiadanie środków finansowych, gwarantuje płatność ceny sprzedaży nieruchomości;</w:t>
      </w:r>
    </w:p>
    <w:p w14:paraId="6D8B6C9F" w14:textId="77777777" w:rsidR="00A908AC" w:rsidRDefault="00A908AC">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Oświadczenie Oferenta, iż akceptuje termin związania ofertą, nie krótszy niż 6 miesięcy;</w:t>
      </w:r>
    </w:p>
    <w:p w14:paraId="18D2F07F" w14:textId="77777777" w:rsidR="00A908AC" w:rsidRDefault="00A908AC">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 xml:space="preserve">Oświadczenie, iż Oferent dobrowolnie i na własny koszt oraz ryzyko przystępuje do postępowania zmierzającego do zawarcia umowy sprzedaży, zrzeka się wszelkich roszczeń w związku z prowadzonym postępowaniem na pozyskanie kontrahenta, zakończeniem postępowania bez dokonania wyboru oraz że ponosi wszelkie koszty związane z przygotowaniem oferty i </w:t>
      </w:r>
      <w:r>
        <w:rPr>
          <w:rFonts w:ascii="Verdana" w:eastAsia="Times New Roman" w:hAnsi="Verdana" w:cs="Verdana"/>
          <w:sz w:val="22"/>
          <w:szCs w:val="22"/>
        </w:rPr>
        <w:lastRenderedPageBreak/>
        <w:t>uczestnictwem w przetargu bez prawa żądania ich zwrotu;</w:t>
      </w:r>
    </w:p>
    <w:p w14:paraId="6F60FECB" w14:textId="77777777" w:rsidR="00A908AC" w:rsidRDefault="00A908AC">
      <w:pPr>
        <w:pStyle w:val="Standard"/>
        <w:widowControl w:val="0"/>
        <w:numPr>
          <w:ilvl w:val="0"/>
          <w:numId w:val="8"/>
        </w:numPr>
        <w:ind w:left="867" w:hanging="510"/>
        <w:jc w:val="both"/>
        <w:rPr>
          <w:rFonts w:ascii="Verdana" w:hAnsi="Verdana" w:cs="Verdana"/>
          <w:color w:val="000000"/>
          <w:sz w:val="22"/>
          <w:szCs w:val="22"/>
        </w:rPr>
      </w:pPr>
      <w:r>
        <w:rPr>
          <w:rFonts w:ascii="Verdana" w:eastAsia="Times New Roman" w:hAnsi="Verdana" w:cs="Verdana"/>
          <w:sz w:val="22"/>
          <w:szCs w:val="22"/>
        </w:rPr>
        <w:t>Oświadczenie, w którym Oferent zobowiązuje się (w przypadku wyboru jego oferty) do zawarcia umowy sprzedaży nieruchomości w formie aktu notarialnego w miejscu i terminie określonym w pisemnym zawiadomieniu Prezydenta Miasta Jaworzna, przypadającym nie później niż 90 dni od dnia rozstrzygnięcia przetargu oraz zapłaty w pieniądzu kwoty zaoferowanej powiększonej o należny podatek VAT, pomniejszonej o wpłacone wadium, najpóźniej na 3 dni przed ustalonym te</w:t>
      </w:r>
      <w:r>
        <w:rPr>
          <w:rFonts w:ascii="Verdana" w:eastAsia="Times New Roman" w:hAnsi="Verdana" w:cs="Verdana"/>
          <w:sz w:val="22"/>
          <w:szCs w:val="22"/>
        </w:rPr>
        <w:t xml:space="preserve">rminem zawarcia umowy (za dochowanie terminu uważa się datę </w:t>
      </w:r>
      <w:r>
        <w:rPr>
          <w:rFonts w:ascii="Verdana" w:eastAsia="Times New Roman" w:hAnsi="Verdana" w:cs="Verdana"/>
          <w:color w:val="000000"/>
          <w:sz w:val="22"/>
          <w:szCs w:val="22"/>
        </w:rPr>
        <w:t>wpływu środków pieniężnych na rachunek Urzędu Miejskiego w Jaworznie);</w:t>
      </w:r>
    </w:p>
    <w:p w14:paraId="771B9699" w14:textId="77777777" w:rsidR="00A908AC" w:rsidRDefault="00A908AC">
      <w:pPr>
        <w:pStyle w:val="Standard"/>
        <w:widowControl w:val="0"/>
        <w:numPr>
          <w:ilvl w:val="0"/>
          <w:numId w:val="8"/>
        </w:numPr>
        <w:ind w:left="867" w:hanging="510"/>
        <w:jc w:val="both"/>
        <w:rPr>
          <w:rFonts w:ascii="Verdana" w:eastAsia="Times New Roman" w:hAnsi="Verdana" w:cs="Verdana"/>
          <w:sz w:val="22"/>
          <w:szCs w:val="22"/>
        </w:rPr>
      </w:pPr>
      <w:r>
        <w:rPr>
          <w:rFonts w:ascii="Verdana" w:hAnsi="Verdana" w:cs="Verdana"/>
          <w:color w:val="000000"/>
          <w:sz w:val="22"/>
          <w:szCs w:val="22"/>
        </w:rPr>
        <w:t>Oświadczenie oferenta zawierające zobowiązanie, że w razie niewywiązania się z przyczyn leżących po jego stronie, z obowiązku prowadzenia deklarowanej działalności na nabytej nieruchomości oraz obowiązku zagospodarowania nieruchomości w terminie 3 lat od dnia wydania nieruchomości (potwierdzone decyzją pozwalającą na użytkowanie obiektu), zapłaci Gminie Miasta Jaworzna karę umow</w:t>
      </w:r>
      <w:r>
        <w:rPr>
          <w:rFonts w:ascii="Verdana" w:hAnsi="Verdana" w:cs="Verdana"/>
          <w:color w:val="000000"/>
          <w:sz w:val="22"/>
          <w:szCs w:val="22"/>
        </w:rPr>
        <w:t xml:space="preserve">ną w wysokości 30 % ceny nabycia nieruchomości Gminy Miasta Jaworzna wraz z oświadczeniem, że co do obowiązku zapłaty kary podda się egzekucji zgodnie z art. 777 </w:t>
      </w:r>
      <w:r>
        <w:rPr>
          <w:rFonts w:ascii="Verdana" w:eastAsia="Times New Roman" w:hAnsi="Verdana" w:cs="Verdana"/>
          <w:sz w:val="22"/>
          <w:szCs w:val="22"/>
        </w:rPr>
        <w:t>§ 1 pkt 5 KPC oraz że Gmina Miasta Jaworzna będzie mogła prowadzić egzekucje na podstawie aktu notarialnego, w razie niewywiązania się przez Niego z tych obowiązków i wystąpić o nadanie klauzuli wykonalności do dnia 31.12.2029 r.</w:t>
      </w:r>
    </w:p>
    <w:p w14:paraId="786D584D" w14:textId="77777777" w:rsidR="00A908AC" w:rsidRDefault="00A908AC">
      <w:pPr>
        <w:pStyle w:val="Standard"/>
        <w:widowControl w:val="0"/>
        <w:numPr>
          <w:ilvl w:val="0"/>
          <w:numId w:val="8"/>
        </w:numPr>
        <w:ind w:left="867" w:hanging="510"/>
        <w:jc w:val="both"/>
        <w:rPr>
          <w:rFonts w:ascii="Verdana" w:eastAsia="Times New Roman" w:hAnsi="Verdana" w:cs="Verdana"/>
          <w:i/>
          <w:iCs/>
          <w:sz w:val="22"/>
          <w:szCs w:val="22"/>
        </w:rPr>
      </w:pPr>
      <w:r>
        <w:rPr>
          <w:rFonts w:ascii="Verdana" w:eastAsia="Times New Roman" w:hAnsi="Verdana" w:cs="Verdana"/>
          <w:sz w:val="22"/>
          <w:szCs w:val="22"/>
        </w:rPr>
        <w:t xml:space="preserve">Oświadczenie, w którym Oferent zobowiązuje się (w przypadku wyboru jego oferty) do ustanowienia służebności </w:t>
      </w:r>
      <w:proofErr w:type="spellStart"/>
      <w:r>
        <w:rPr>
          <w:rFonts w:ascii="Verdana" w:eastAsia="Times New Roman" w:hAnsi="Verdana" w:cs="Verdana"/>
          <w:sz w:val="22"/>
          <w:szCs w:val="22"/>
        </w:rPr>
        <w:t>przesyłu</w:t>
      </w:r>
      <w:proofErr w:type="spellEnd"/>
      <w:r>
        <w:rPr>
          <w:rFonts w:ascii="Verdana" w:eastAsia="Times New Roman" w:hAnsi="Verdana" w:cs="Verdana"/>
          <w:sz w:val="22"/>
          <w:szCs w:val="22"/>
        </w:rPr>
        <w:t xml:space="preserve"> na rzecz Gminy Miasta Jaworzna, w formie aktu notarialnego, o następującej treści:</w:t>
      </w:r>
    </w:p>
    <w:p w14:paraId="15E17165" w14:textId="77777777" w:rsidR="00A908AC" w:rsidRDefault="00A908AC">
      <w:pPr>
        <w:pStyle w:val="Standard"/>
        <w:widowControl w:val="0"/>
        <w:ind w:left="867"/>
        <w:jc w:val="both"/>
        <w:rPr>
          <w:rFonts w:ascii="Verdana" w:eastAsia="Times New Roman" w:hAnsi="Verdana" w:cs="Verdana"/>
          <w:i/>
          <w:iCs/>
          <w:sz w:val="22"/>
          <w:szCs w:val="22"/>
        </w:rPr>
      </w:pPr>
      <w:r>
        <w:rPr>
          <w:rFonts w:ascii="Verdana" w:eastAsia="Times New Roman" w:hAnsi="Verdana" w:cs="Verdana"/>
          <w:i/>
          <w:iCs/>
          <w:sz w:val="22"/>
          <w:szCs w:val="22"/>
        </w:rPr>
        <w:t xml:space="preserve">„1. …………… (dane Oferenta) ustanawia na rzecz Gminy Miasta Jaworzna (zwanej dalej Gmina) i jej następców prawnych na czas nieokreślony, nieodpłatną służebność </w:t>
      </w:r>
      <w:proofErr w:type="spellStart"/>
      <w:r>
        <w:rPr>
          <w:rFonts w:ascii="Verdana" w:eastAsia="Times New Roman" w:hAnsi="Verdana" w:cs="Verdana"/>
          <w:i/>
          <w:iCs/>
          <w:sz w:val="22"/>
          <w:szCs w:val="22"/>
        </w:rPr>
        <w:t>przesyłu</w:t>
      </w:r>
      <w:proofErr w:type="spellEnd"/>
      <w:r>
        <w:rPr>
          <w:rFonts w:ascii="Verdana" w:eastAsia="Times New Roman" w:hAnsi="Verdana" w:cs="Verdana"/>
          <w:i/>
          <w:iCs/>
          <w:sz w:val="22"/>
          <w:szCs w:val="22"/>
        </w:rPr>
        <w:t xml:space="preserve"> na nieruchomości oznaczonej numerem ewidencyjnym 4562 </w:t>
      </w:r>
      <w:proofErr w:type="spellStart"/>
      <w:r>
        <w:rPr>
          <w:rFonts w:ascii="Verdana" w:eastAsia="Times New Roman" w:hAnsi="Verdana" w:cs="Verdana"/>
          <w:i/>
          <w:iCs/>
          <w:sz w:val="22"/>
          <w:szCs w:val="22"/>
        </w:rPr>
        <w:t>obr</w:t>
      </w:r>
      <w:proofErr w:type="spellEnd"/>
      <w:r>
        <w:rPr>
          <w:rFonts w:ascii="Verdana" w:eastAsia="Times New Roman" w:hAnsi="Verdana" w:cs="Verdana"/>
          <w:i/>
          <w:iCs/>
          <w:sz w:val="22"/>
          <w:szCs w:val="22"/>
        </w:rPr>
        <w:t>. 1026, objętej księgą wieczystą KW KA1J/00032896/1, prowadzoną przez Sąd Rejonowy w Jaworznie polegającej na eksploatacji infrastruktury odwadniającej stanowiącej własność Gminy, a także na nieograniczonym i bezpłatnym prawie dostępu do niej, wraz z niezbędnym sprzętem, w celu modernizacji, przebudowy i rozbudowy, w tym wymiany, jak również konserwacji, przeprowadzania remontów, usuwania awarii, dokonywania kontroli, przeglądów oraz ewentual</w:t>
      </w:r>
      <w:r>
        <w:rPr>
          <w:rFonts w:ascii="Verdana" w:eastAsia="Times New Roman" w:hAnsi="Verdana" w:cs="Verdana"/>
          <w:i/>
          <w:iCs/>
          <w:sz w:val="22"/>
          <w:szCs w:val="22"/>
        </w:rPr>
        <w:t>nej likwidacji i demontażu urządzeń.</w:t>
      </w:r>
    </w:p>
    <w:p w14:paraId="04C7E711" w14:textId="77777777" w:rsidR="00A908AC" w:rsidRDefault="00A908AC">
      <w:pPr>
        <w:pStyle w:val="Standard"/>
        <w:widowControl w:val="0"/>
        <w:ind w:left="867"/>
        <w:jc w:val="both"/>
        <w:rPr>
          <w:rFonts w:ascii="Verdana" w:eastAsia="Times New Roman" w:hAnsi="Verdana" w:cs="Verdana"/>
          <w:i/>
          <w:iCs/>
          <w:sz w:val="22"/>
          <w:szCs w:val="22"/>
        </w:rPr>
      </w:pPr>
      <w:r>
        <w:rPr>
          <w:rFonts w:ascii="Verdana" w:eastAsia="Times New Roman" w:hAnsi="Verdana" w:cs="Verdana"/>
          <w:i/>
          <w:iCs/>
          <w:sz w:val="22"/>
          <w:szCs w:val="22"/>
        </w:rPr>
        <w:t xml:space="preserve">2. Służebność </w:t>
      </w:r>
      <w:proofErr w:type="spellStart"/>
      <w:r>
        <w:rPr>
          <w:rFonts w:ascii="Verdana" w:eastAsia="Times New Roman" w:hAnsi="Verdana" w:cs="Verdana"/>
          <w:i/>
          <w:iCs/>
          <w:sz w:val="22"/>
          <w:szCs w:val="22"/>
        </w:rPr>
        <w:t>przesyłu</w:t>
      </w:r>
      <w:proofErr w:type="spellEnd"/>
      <w:r>
        <w:rPr>
          <w:rFonts w:ascii="Verdana" w:eastAsia="Times New Roman" w:hAnsi="Verdana" w:cs="Verdana"/>
          <w:i/>
          <w:iCs/>
          <w:sz w:val="22"/>
          <w:szCs w:val="22"/>
        </w:rPr>
        <w:t xml:space="preserve"> uprawnia także jednostki podległe Gminie, do nieodpłatnego korzystania w każdym czasie z obciążonej nieruchomości, w szczególności w celu posadowienia urządzeń, o których mowa w art. 49 §1 Kodeksu cywilnego, ich eksploatacji, przeglądu, naprawy, konserwacji, modernizacji i wymiany, w tym również przy użyciu odpowiedniego sprzętu, bez konieczności każdorazowego powiadomienia właściciela nieruchomości.</w:t>
      </w:r>
    </w:p>
    <w:p w14:paraId="03F83392" w14:textId="77777777" w:rsidR="00A908AC" w:rsidRDefault="00A908AC">
      <w:pPr>
        <w:pStyle w:val="Standard"/>
        <w:widowControl w:val="0"/>
        <w:ind w:left="867"/>
        <w:jc w:val="both"/>
        <w:rPr>
          <w:rFonts w:ascii="Verdana" w:eastAsia="Times New Roman" w:hAnsi="Verdana" w:cs="Verdana"/>
          <w:i/>
          <w:iCs/>
          <w:sz w:val="22"/>
          <w:szCs w:val="22"/>
        </w:rPr>
      </w:pPr>
      <w:r>
        <w:rPr>
          <w:rFonts w:ascii="Verdana" w:eastAsia="Times New Roman" w:hAnsi="Verdana" w:cs="Verdana"/>
          <w:i/>
          <w:iCs/>
          <w:sz w:val="22"/>
          <w:szCs w:val="22"/>
        </w:rPr>
        <w:t>3. Właściciel infrastruktury obowiązany jest do przywrócenia nieruchomości do stanu poprzedniego po</w:t>
      </w:r>
      <w:r>
        <w:rPr>
          <w:rFonts w:ascii="Verdana" w:eastAsia="Times New Roman" w:hAnsi="Verdana" w:cs="Verdana"/>
          <w:i/>
          <w:iCs/>
          <w:sz w:val="22"/>
          <w:szCs w:val="22"/>
        </w:rPr>
        <w:t xml:space="preserve"> wykonaniu jakichkolwiek prac instalacyjnych, remontowych czy konserwacyjnych naruszających stan nieruchomości istniejący w dniu rozpoczęcia robót.</w:t>
      </w:r>
    </w:p>
    <w:p w14:paraId="63DF2AF3" w14:textId="77777777" w:rsidR="00A908AC" w:rsidRDefault="00A908AC">
      <w:pPr>
        <w:pStyle w:val="Standard"/>
        <w:widowControl w:val="0"/>
        <w:ind w:left="867"/>
        <w:jc w:val="both"/>
        <w:rPr>
          <w:rFonts w:ascii="Verdana" w:eastAsia="Times New Roman" w:hAnsi="Verdana" w:cs="Verdana"/>
          <w:i/>
          <w:iCs/>
          <w:sz w:val="22"/>
          <w:szCs w:val="22"/>
        </w:rPr>
      </w:pPr>
      <w:r>
        <w:rPr>
          <w:rFonts w:ascii="Verdana" w:eastAsia="Times New Roman" w:hAnsi="Verdana" w:cs="Verdana"/>
          <w:i/>
          <w:iCs/>
          <w:sz w:val="22"/>
          <w:szCs w:val="22"/>
        </w:rPr>
        <w:t xml:space="preserve">4. Ustanowiona służebność </w:t>
      </w:r>
      <w:proofErr w:type="spellStart"/>
      <w:r>
        <w:rPr>
          <w:rFonts w:ascii="Verdana" w:eastAsia="Times New Roman" w:hAnsi="Verdana" w:cs="Verdana"/>
          <w:i/>
          <w:iCs/>
          <w:sz w:val="22"/>
          <w:szCs w:val="22"/>
        </w:rPr>
        <w:t>przesyłu</w:t>
      </w:r>
      <w:proofErr w:type="spellEnd"/>
      <w:r>
        <w:rPr>
          <w:rFonts w:ascii="Verdana" w:eastAsia="Times New Roman" w:hAnsi="Verdana" w:cs="Verdana"/>
          <w:i/>
          <w:iCs/>
          <w:sz w:val="22"/>
          <w:szCs w:val="22"/>
        </w:rPr>
        <w:t xml:space="preserve"> zobowiązuje każdorazowego właściciela nieruchomości, o której mowa w pkt 1 powyżej do zachowania na trasie przebudowywanej kanalizacji upustowej, pasa o szerokości po 1,8 </w:t>
      </w:r>
      <w:proofErr w:type="spellStart"/>
      <w:r>
        <w:rPr>
          <w:rFonts w:ascii="Verdana" w:eastAsia="Times New Roman" w:hAnsi="Verdana" w:cs="Verdana"/>
          <w:i/>
          <w:iCs/>
          <w:sz w:val="22"/>
          <w:szCs w:val="22"/>
        </w:rPr>
        <w:t>mb</w:t>
      </w:r>
      <w:proofErr w:type="spellEnd"/>
      <w:r>
        <w:rPr>
          <w:rFonts w:ascii="Verdana" w:eastAsia="Times New Roman" w:hAnsi="Verdana" w:cs="Verdana"/>
          <w:i/>
          <w:iCs/>
          <w:sz w:val="22"/>
          <w:szCs w:val="22"/>
        </w:rPr>
        <w:t xml:space="preserve"> licząc od skrajni rurociągu, przestrzeni wolnej od </w:t>
      </w:r>
      <w:proofErr w:type="spellStart"/>
      <w:r>
        <w:rPr>
          <w:rFonts w:ascii="Verdana" w:eastAsia="Times New Roman" w:hAnsi="Verdana" w:cs="Verdana"/>
          <w:i/>
          <w:iCs/>
          <w:sz w:val="22"/>
          <w:szCs w:val="22"/>
        </w:rPr>
        <w:t>nasadzeń</w:t>
      </w:r>
      <w:proofErr w:type="spellEnd"/>
      <w:r>
        <w:rPr>
          <w:rFonts w:ascii="Verdana" w:eastAsia="Times New Roman" w:hAnsi="Verdana" w:cs="Verdana"/>
          <w:i/>
          <w:iCs/>
          <w:sz w:val="22"/>
          <w:szCs w:val="22"/>
        </w:rPr>
        <w:t xml:space="preserve"> drzew i krzewów, obiektów budowlanych, w tym obiektów małej architektury.</w:t>
      </w:r>
    </w:p>
    <w:p w14:paraId="037F8DFD" w14:textId="77777777" w:rsidR="00A908AC" w:rsidRDefault="00A908AC">
      <w:pPr>
        <w:pStyle w:val="Standard"/>
        <w:widowControl w:val="0"/>
        <w:ind w:left="867"/>
        <w:jc w:val="both"/>
        <w:rPr>
          <w:rFonts w:ascii="Verdana" w:eastAsia="Times New Roman" w:hAnsi="Verdana" w:cs="Verdana"/>
          <w:b/>
          <w:bCs/>
          <w:color w:val="000000"/>
          <w:sz w:val="22"/>
          <w:szCs w:val="22"/>
        </w:rPr>
      </w:pPr>
      <w:r>
        <w:rPr>
          <w:rFonts w:ascii="Verdana" w:eastAsia="Times New Roman" w:hAnsi="Verdana" w:cs="Verdana"/>
          <w:i/>
          <w:iCs/>
          <w:sz w:val="22"/>
          <w:szCs w:val="22"/>
        </w:rPr>
        <w:t xml:space="preserve">5. Z tytułu ograniczenia w zakresie korzystania z nieruchomości, właścicielom (przyszłym właścicielom) nieruchomości, o której mowa w pkt 1 nie będzie przysługiwało żadne odszkodowanie w tym te, </w:t>
      </w:r>
      <w:r>
        <w:rPr>
          <w:rFonts w:ascii="Verdana" w:eastAsia="Times New Roman" w:hAnsi="Verdana" w:cs="Verdana"/>
          <w:i/>
          <w:iCs/>
          <w:sz w:val="22"/>
          <w:szCs w:val="22"/>
        </w:rPr>
        <w:t>o którym mowa w ustawie Prawo wodne.”</w:t>
      </w:r>
    </w:p>
    <w:p w14:paraId="4F76D0FE" w14:textId="77777777" w:rsidR="00A908AC" w:rsidRDefault="00A908AC">
      <w:pPr>
        <w:pStyle w:val="Standard"/>
        <w:spacing w:before="120"/>
        <w:ind w:left="357"/>
        <w:jc w:val="both"/>
        <w:rPr>
          <w:rFonts w:ascii="Verdana" w:eastAsia="Verdana" w:hAnsi="Verdana" w:cs="Verdana"/>
          <w:b/>
          <w:bCs/>
          <w:sz w:val="22"/>
          <w:szCs w:val="22"/>
        </w:rPr>
      </w:pPr>
      <w:r>
        <w:rPr>
          <w:rFonts w:ascii="Verdana" w:eastAsia="Times New Roman" w:hAnsi="Verdana" w:cs="Verdana"/>
          <w:b/>
          <w:bCs/>
          <w:color w:val="000000"/>
          <w:sz w:val="22"/>
          <w:szCs w:val="22"/>
        </w:rPr>
        <w:lastRenderedPageBreak/>
        <w:t xml:space="preserve">Oferta musi być przygotowana w oparciu o załącznik nr 1 do przedmiotowego ogłoszenia o przetargu udostępniony na stronach </w:t>
      </w:r>
      <w:r>
        <w:rPr>
          <w:rFonts w:ascii="Verdana" w:eastAsia="Times New Roman" w:hAnsi="Verdana" w:cs="Verdana"/>
          <w:b/>
          <w:bCs/>
          <w:sz w:val="22"/>
          <w:szCs w:val="22"/>
        </w:rPr>
        <w:t>internetowych KSSE, Urzędu Miejskiego oraz zawierać wymagane dokumenty wskazane w treści niniejszego ogłoszenia. Oferta niekompletna zostanie odrzucona.</w:t>
      </w:r>
    </w:p>
    <w:p w14:paraId="1C3C6EF3" w14:textId="77777777" w:rsidR="00A908AC" w:rsidRDefault="00A908AC">
      <w:pPr>
        <w:pStyle w:val="Standard"/>
        <w:numPr>
          <w:ilvl w:val="0"/>
          <w:numId w:val="7"/>
        </w:numPr>
        <w:ind w:left="510" w:hanging="510"/>
        <w:jc w:val="both"/>
        <w:rPr>
          <w:rFonts w:ascii="Verdana" w:eastAsia="Times New Roman" w:hAnsi="Verdana" w:cs="Verdana"/>
          <w:sz w:val="22"/>
          <w:szCs w:val="22"/>
        </w:rPr>
      </w:pPr>
      <w:r>
        <w:rPr>
          <w:rFonts w:ascii="Verdana" w:eastAsia="Verdana" w:hAnsi="Verdana" w:cs="Verdana"/>
          <w:b/>
          <w:bCs/>
          <w:sz w:val="22"/>
          <w:szCs w:val="22"/>
        </w:rPr>
        <w:t xml:space="preserve"> </w:t>
      </w:r>
      <w:r>
        <w:rPr>
          <w:rFonts w:ascii="Verdana" w:eastAsia="Times New Roman" w:hAnsi="Verdana" w:cs="Verdana"/>
          <w:b/>
          <w:bCs/>
          <w:sz w:val="22"/>
          <w:szCs w:val="22"/>
        </w:rPr>
        <w:t>Kryteria oceny ofert i punktacja:</w:t>
      </w:r>
    </w:p>
    <w:p w14:paraId="55792F7A" w14:textId="77777777" w:rsidR="00A908AC" w:rsidRDefault="00A908AC">
      <w:pPr>
        <w:pStyle w:val="Standard"/>
        <w:widowControl w:val="0"/>
        <w:numPr>
          <w:ilvl w:val="0"/>
          <w:numId w:val="9"/>
        </w:numPr>
        <w:ind w:left="851" w:hanging="284"/>
        <w:jc w:val="both"/>
        <w:rPr>
          <w:rFonts w:ascii="Verdana" w:eastAsia="Times New Roman" w:hAnsi="Verdana" w:cs="Verdana"/>
          <w:sz w:val="22"/>
          <w:szCs w:val="22"/>
        </w:rPr>
      </w:pPr>
      <w:r>
        <w:rPr>
          <w:rFonts w:ascii="Verdana" w:eastAsia="Times New Roman" w:hAnsi="Verdana" w:cs="Verdana"/>
          <w:sz w:val="22"/>
          <w:szCs w:val="22"/>
        </w:rPr>
        <w:t xml:space="preserve">Oferowana cena wyższa od ceny wywoławczej – </w:t>
      </w:r>
      <w:r>
        <w:rPr>
          <w:rFonts w:ascii="Verdana" w:eastAsia="Times New Roman" w:hAnsi="Verdana" w:cs="Verdana"/>
          <w:b/>
          <w:bCs/>
          <w:sz w:val="22"/>
          <w:szCs w:val="22"/>
        </w:rPr>
        <w:t>do 30 punktów</w:t>
      </w:r>
      <w:r>
        <w:rPr>
          <w:rFonts w:ascii="Verdana" w:eastAsia="Times New Roman" w:hAnsi="Verdana" w:cs="Verdana"/>
          <w:sz w:val="22"/>
          <w:szCs w:val="22"/>
        </w:rPr>
        <w:t xml:space="preserve"> (iloczyn 30 punktów i stosunku ceny zaoferowanej przez oferenta do najwyższej zaoferowanej ceny).</w:t>
      </w:r>
    </w:p>
    <w:p w14:paraId="251F34F0" w14:textId="77777777" w:rsidR="00A908AC" w:rsidRDefault="00A908AC">
      <w:pPr>
        <w:pStyle w:val="Standard"/>
        <w:widowControl w:val="0"/>
        <w:numPr>
          <w:ilvl w:val="0"/>
          <w:numId w:val="9"/>
        </w:numPr>
        <w:ind w:left="851" w:hanging="284"/>
        <w:jc w:val="both"/>
        <w:rPr>
          <w:rFonts w:ascii="Verdana" w:eastAsia="Times New Roman" w:hAnsi="Verdana" w:cs="Verdana"/>
          <w:sz w:val="22"/>
          <w:szCs w:val="22"/>
        </w:rPr>
      </w:pPr>
      <w:r>
        <w:rPr>
          <w:rFonts w:ascii="Verdana" w:eastAsia="Times New Roman" w:hAnsi="Verdana" w:cs="Verdana"/>
          <w:sz w:val="22"/>
          <w:szCs w:val="22"/>
        </w:rPr>
        <w:t xml:space="preserve">Planowana podstawowa działalność na nabytej nieruchomości, uwzględniająca preferowane przez Gminę Miasta Jaworzna profile działalności – </w:t>
      </w:r>
      <w:r>
        <w:rPr>
          <w:rFonts w:ascii="Verdana" w:eastAsia="Times New Roman" w:hAnsi="Verdana" w:cs="Verdana"/>
          <w:b/>
          <w:bCs/>
          <w:sz w:val="22"/>
          <w:szCs w:val="22"/>
        </w:rPr>
        <w:t>30 punktów</w:t>
      </w:r>
      <w:r>
        <w:rPr>
          <w:rFonts w:ascii="Verdana" w:eastAsia="Times New Roman" w:hAnsi="Verdana" w:cs="Verdana"/>
          <w:sz w:val="22"/>
          <w:szCs w:val="22"/>
        </w:rPr>
        <w:t xml:space="preserve"> za planowaną podstawową działalność w ramach PKWiU:</w:t>
      </w:r>
    </w:p>
    <w:p w14:paraId="393E97F5" w14:textId="77777777" w:rsidR="00A908AC" w:rsidRDefault="00A908AC">
      <w:pPr>
        <w:pStyle w:val="Standard"/>
        <w:ind w:left="426" w:firstLine="426"/>
        <w:jc w:val="both"/>
        <w:rPr>
          <w:rFonts w:ascii="Verdana" w:eastAsia="Times New Roman" w:hAnsi="Verdana" w:cs="Verdana"/>
          <w:sz w:val="22"/>
          <w:szCs w:val="22"/>
        </w:rPr>
      </w:pPr>
      <w:r>
        <w:rPr>
          <w:rFonts w:ascii="Verdana" w:eastAsia="Times New Roman" w:hAnsi="Verdana" w:cs="Verdana"/>
          <w:sz w:val="22"/>
          <w:szCs w:val="22"/>
        </w:rPr>
        <w:t>- 22 – wyroby z gumy i tworzyw sztucznych,</w:t>
      </w:r>
    </w:p>
    <w:p w14:paraId="31585165" w14:textId="77777777" w:rsidR="00A908AC" w:rsidRDefault="00A908AC">
      <w:pPr>
        <w:pStyle w:val="Standard"/>
        <w:ind w:left="426" w:firstLine="426"/>
        <w:jc w:val="both"/>
        <w:rPr>
          <w:rFonts w:ascii="Verdana" w:eastAsia="Times New Roman" w:hAnsi="Verdana" w:cs="Verdana"/>
          <w:sz w:val="22"/>
          <w:szCs w:val="22"/>
        </w:rPr>
      </w:pPr>
      <w:r>
        <w:rPr>
          <w:rFonts w:ascii="Verdana" w:eastAsia="Times New Roman" w:hAnsi="Verdana" w:cs="Verdana"/>
          <w:sz w:val="22"/>
          <w:szCs w:val="22"/>
        </w:rPr>
        <w:t>- 25 – wyroby metalowe gotowe, z wyłączeniem maszyn i urządzeń,</w:t>
      </w:r>
    </w:p>
    <w:p w14:paraId="24375CCB" w14:textId="77777777" w:rsidR="00A908AC" w:rsidRDefault="00A908AC">
      <w:pPr>
        <w:pStyle w:val="Standard"/>
        <w:ind w:left="426" w:firstLine="426"/>
        <w:jc w:val="both"/>
        <w:rPr>
          <w:rFonts w:ascii="Verdana" w:eastAsia="Times New Roman" w:hAnsi="Verdana" w:cs="Verdana"/>
          <w:sz w:val="22"/>
          <w:szCs w:val="22"/>
        </w:rPr>
      </w:pPr>
      <w:r>
        <w:rPr>
          <w:rFonts w:ascii="Verdana" w:eastAsia="Times New Roman" w:hAnsi="Verdana" w:cs="Verdana"/>
          <w:sz w:val="22"/>
          <w:szCs w:val="22"/>
        </w:rPr>
        <w:t>- 26 – komputery, wyroby elektroniczne i optyczne,</w:t>
      </w:r>
    </w:p>
    <w:p w14:paraId="7AEFAE0F" w14:textId="77777777" w:rsidR="00A908AC" w:rsidRDefault="00A908AC">
      <w:pPr>
        <w:pStyle w:val="Standard"/>
        <w:ind w:left="426" w:firstLine="426"/>
        <w:jc w:val="both"/>
        <w:rPr>
          <w:rFonts w:ascii="Verdana" w:eastAsia="Times New Roman" w:hAnsi="Verdana" w:cs="Verdana"/>
          <w:sz w:val="22"/>
          <w:szCs w:val="22"/>
        </w:rPr>
      </w:pPr>
      <w:r>
        <w:rPr>
          <w:rFonts w:ascii="Verdana" w:eastAsia="Times New Roman" w:hAnsi="Verdana" w:cs="Verdana"/>
          <w:sz w:val="22"/>
          <w:szCs w:val="22"/>
        </w:rPr>
        <w:t>- 27 – urządzenia elektryczne,</w:t>
      </w:r>
    </w:p>
    <w:p w14:paraId="57F57F3E" w14:textId="77777777" w:rsidR="00A908AC" w:rsidRDefault="00A908AC">
      <w:pPr>
        <w:pStyle w:val="Standard"/>
        <w:ind w:left="426" w:firstLine="426"/>
        <w:jc w:val="both"/>
        <w:rPr>
          <w:rFonts w:ascii="Verdana" w:eastAsia="Times New Roman" w:hAnsi="Verdana" w:cs="Verdana"/>
          <w:sz w:val="22"/>
          <w:szCs w:val="22"/>
        </w:rPr>
      </w:pPr>
      <w:r>
        <w:rPr>
          <w:rFonts w:ascii="Verdana" w:eastAsia="Times New Roman" w:hAnsi="Verdana" w:cs="Verdana"/>
          <w:sz w:val="22"/>
          <w:szCs w:val="22"/>
        </w:rPr>
        <w:t>- 28 – maszyny i urządzenia, gdzie indziej niesklasyfikowane,</w:t>
      </w:r>
    </w:p>
    <w:p w14:paraId="001F48DE" w14:textId="77777777" w:rsidR="00A908AC" w:rsidRDefault="00A908AC">
      <w:pPr>
        <w:pStyle w:val="Standard"/>
        <w:ind w:left="426" w:firstLine="426"/>
        <w:jc w:val="both"/>
        <w:rPr>
          <w:rFonts w:ascii="Verdana" w:eastAsia="Times New Roman" w:hAnsi="Verdana" w:cs="Verdana"/>
          <w:sz w:val="22"/>
          <w:szCs w:val="22"/>
        </w:rPr>
      </w:pPr>
      <w:r>
        <w:rPr>
          <w:rFonts w:ascii="Verdana" w:eastAsia="Times New Roman" w:hAnsi="Verdana" w:cs="Verdana"/>
          <w:sz w:val="22"/>
          <w:szCs w:val="22"/>
        </w:rPr>
        <w:t>- 29 – pojazdy samochodowe, przyczepy i naczepy,</w:t>
      </w:r>
    </w:p>
    <w:p w14:paraId="4B3B09DF" w14:textId="77777777" w:rsidR="00A908AC" w:rsidRDefault="00A908AC">
      <w:pPr>
        <w:pStyle w:val="Standard"/>
        <w:ind w:left="426" w:firstLine="426"/>
        <w:jc w:val="both"/>
        <w:rPr>
          <w:rFonts w:ascii="Verdana" w:eastAsia="Times New Roman" w:hAnsi="Verdana" w:cs="Verdana"/>
          <w:sz w:val="22"/>
          <w:szCs w:val="22"/>
        </w:rPr>
      </w:pPr>
      <w:r>
        <w:rPr>
          <w:rFonts w:ascii="Verdana" w:eastAsia="Times New Roman" w:hAnsi="Verdana" w:cs="Verdana"/>
          <w:sz w:val="22"/>
          <w:szCs w:val="22"/>
        </w:rPr>
        <w:t>- 30 – pozostały sprzęt transportowy,</w:t>
      </w:r>
    </w:p>
    <w:p w14:paraId="32F683B6" w14:textId="77777777" w:rsidR="00A908AC" w:rsidRDefault="00A908AC">
      <w:pPr>
        <w:pStyle w:val="Standard"/>
        <w:ind w:left="426" w:firstLine="426"/>
        <w:jc w:val="both"/>
        <w:rPr>
          <w:rFonts w:ascii="Verdana" w:eastAsia="Times New Roman" w:hAnsi="Verdana" w:cs="Verdana"/>
          <w:sz w:val="22"/>
          <w:szCs w:val="22"/>
        </w:rPr>
      </w:pPr>
      <w:r>
        <w:rPr>
          <w:rFonts w:ascii="Verdana" w:eastAsia="Times New Roman" w:hAnsi="Verdana" w:cs="Verdana"/>
          <w:sz w:val="22"/>
          <w:szCs w:val="22"/>
        </w:rPr>
        <w:t>- 52.1 – magazynowanie i przechowywanie towarów.</w:t>
      </w:r>
    </w:p>
    <w:p w14:paraId="36279ADC" w14:textId="77777777" w:rsidR="00A908AC" w:rsidRDefault="00A908AC">
      <w:pPr>
        <w:pStyle w:val="Standard"/>
        <w:widowControl w:val="0"/>
        <w:numPr>
          <w:ilvl w:val="0"/>
          <w:numId w:val="9"/>
        </w:numPr>
        <w:ind w:left="851" w:hanging="284"/>
        <w:jc w:val="both"/>
        <w:rPr>
          <w:rFonts w:ascii="Verdana" w:eastAsia="Times New Roman" w:hAnsi="Verdana" w:cs="Verdana"/>
          <w:sz w:val="22"/>
          <w:szCs w:val="22"/>
        </w:rPr>
      </w:pPr>
      <w:r>
        <w:rPr>
          <w:rFonts w:ascii="Verdana" w:eastAsia="Times New Roman" w:hAnsi="Verdana" w:cs="Verdana"/>
          <w:sz w:val="22"/>
          <w:szCs w:val="22"/>
        </w:rPr>
        <w:t>Planowana powierzchnia użytkowa budynków, zgodnie z koncepcją zagospodarowania –</w:t>
      </w:r>
      <w:r>
        <w:rPr>
          <w:rFonts w:ascii="Verdana" w:eastAsia="Times New Roman" w:hAnsi="Verdana" w:cs="Verdana"/>
          <w:b/>
          <w:bCs/>
          <w:sz w:val="22"/>
          <w:szCs w:val="22"/>
        </w:rPr>
        <w:t xml:space="preserve"> do</w:t>
      </w:r>
      <w:r>
        <w:rPr>
          <w:rFonts w:ascii="Verdana" w:eastAsia="Times New Roman" w:hAnsi="Verdana" w:cs="Verdana"/>
          <w:sz w:val="22"/>
          <w:szCs w:val="22"/>
        </w:rPr>
        <w:t xml:space="preserve"> </w:t>
      </w:r>
      <w:r>
        <w:rPr>
          <w:rFonts w:ascii="Verdana" w:eastAsia="Times New Roman" w:hAnsi="Verdana" w:cs="Verdana"/>
          <w:b/>
          <w:bCs/>
          <w:sz w:val="22"/>
          <w:szCs w:val="22"/>
        </w:rPr>
        <w:t xml:space="preserve">25 punktów </w:t>
      </w:r>
      <w:r>
        <w:rPr>
          <w:rFonts w:ascii="Verdana" w:eastAsia="Times New Roman" w:hAnsi="Verdana" w:cs="Verdana"/>
          <w:sz w:val="22"/>
          <w:szCs w:val="22"/>
        </w:rPr>
        <w:t>(iloczyn 25 punktów i stosunku wielkości powierzchni użytkowej zaoferowanej przez oferenta do największej zaoferowanej powierzchni użytkowej).</w:t>
      </w:r>
    </w:p>
    <w:p w14:paraId="286CB72D" w14:textId="77777777" w:rsidR="00A908AC" w:rsidRDefault="00A908AC">
      <w:pPr>
        <w:pStyle w:val="Standard"/>
        <w:widowControl w:val="0"/>
        <w:numPr>
          <w:ilvl w:val="0"/>
          <w:numId w:val="9"/>
        </w:numPr>
        <w:ind w:left="851" w:hanging="284"/>
        <w:jc w:val="both"/>
        <w:rPr>
          <w:rFonts w:ascii="Verdana" w:eastAsia="Times New Roman" w:hAnsi="Verdana" w:cs="Verdana"/>
          <w:sz w:val="22"/>
          <w:szCs w:val="22"/>
        </w:rPr>
      </w:pPr>
      <w:r>
        <w:rPr>
          <w:rFonts w:ascii="Verdana" w:eastAsia="Times New Roman" w:hAnsi="Verdana" w:cs="Verdana"/>
          <w:sz w:val="22"/>
          <w:szCs w:val="22"/>
        </w:rPr>
        <w:t xml:space="preserve">Posiadanie decyzji o wsparciu projektu inwestycyjnego oferenta na nieruchomości będącej przedmiotem przetargu, wydanej na podstawie ustawy z dnia 10 maja 2018 roku o wspieraniu nowych inwestycji – </w:t>
      </w:r>
      <w:r>
        <w:rPr>
          <w:rFonts w:ascii="Verdana" w:eastAsia="Times New Roman" w:hAnsi="Verdana" w:cs="Verdana"/>
          <w:b/>
          <w:bCs/>
          <w:sz w:val="22"/>
          <w:szCs w:val="22"/>
        </w:rPr>
        <w:t>15 punktów</w:t>
      </w:r>
      <w:r>
        <w:rPr>
          <w:rFonts w:ascii="Verdana" w:eastAsia="Times New Roman" w:hAnsi="Verdana" w:cs="Verdana"/>
          <w:sz w:val="22"/>
          <w:szCs w:val="22"/>
        </w:rPr>
        <w:t>.</w:t>
      </w:r>
    </w:p>
    <w:p w14:paraId="6DBBF73C" w14:textId="77777777" w:rsidR="00A908AC" w:rsidRDefault="00A908AC">
      <w:pPr>
        <w:pStyle w:val="Standard"/>
        <w:ind w:left="510"/>
        <w:jc w:val="both"/>
        <w:rPr>
          <w:rFonts w:ascii="Verdana" w:eastAsia="Times New Roman" w:hAnsi="Verdana" w:cs="Verdana"/>
          <w:sz w:val="22"/>
          <w:szCs w:val="22"/>
        </w:rPr>
      </w:pPr>
      <w:r>
        <w:rPr>
          <w:rFonts w:ascii="Verdana" w:eastAsia="Times New Roman" w:hAnsi="Verdana" w:cs="Verdana"/>
          <w:sz w:val="22"/>
          <w:szCs w:val="22"/>
        </w:rPr>
        <w:t>O wyborze Oferenta decydować będzie wyższa liczba uzyskanych w przetargu punktów, która maksymalnie wynosi 100 punktów.</w:t>
      </w:r>
    </w:p>
    <w:p w14:paraId="5F08BA59" w14:textId="77777777" w:rsidR="00A908AC" w:rsidRDefault="00A908AC">
      <w:pPr>
        <w:pStyle w:val="Standard"/>
        <w:widowControl w:val="0"/>
        <w:ind w:left="510"/>
        <w:jc w:val="both"/>
        <w:rPr>
          <w:rFonts w:ascii="Verdana" w:eastAsia="Times New Roman" w:hAnsi="Verdana" w:cs="Verdana"/>
          <w:b/>
          <w:bCs/>
          <w:sz w:val="22"/>
          <w:szCs w:val="22"/>
        </w:rPr>
      </w:pPr>
      <w:r>
        <w:rPr>
          <w:rFonts w:ascii="Verdana" w:eastAsia="Times New Roman" w:hAnsi="Verdana" w:cs="Verdana"/>
          <w:sz w:val="22"/>
          <w:szCs w:val="22"/>
        </w:rPr>
        <w:t>Oferta i wszystkie oświadczenia załączone do niej winny być podpisane przez Oferenta lub osoby przez niego upoważnione.</w:t>
      </w:r>
    </w:p>
    <w:p w14:paraId="6CE1C46B" w14:textId="77777777" w:rsidR="00A908AC" w:rsidRDefault="00A908AC">
      <w:pPr>
        <w:pStyle w:val="Standard"/>
        <w:widowControl w:val="0"/>
        <w:numPr>
          <w:ilvl w:val="0"/>
          <w:numId w:val="7"/>
        </w:numPr>
        <w:ind w:left="510" w:hanging="510"/>
        <w:jc w:val="both"/>
        <w:rPr>
          <w:rFonts w:ascii="Verdana" w:eastAsia="Arial Unicode MS" w:hAnsi="Verdana" w:cs="Verdana"/>
          <w:sz w:val="22"/>
          <w:szCs w:val="22"/>
          <w:lang w:bidi="pl-PL"/>
        </w:rPr>
      </w:pPr>
      <w:r>
        <w:rPr>
          <w:rFonts w:ascii="Verdana" w:eastAsia="Times New Roman" w:hAnsi="Verdana" w:cs="Verdana"/>
          <w:b/>
          <w:bCs/>
          <w:sz w:val="22"/>
          <w:szCs w:val="22"/>
        </w:rPr>
        <w:t>Zobowiązania oferenta:</w:t>
      </w:r>
    </w:p>
    <w:p w14:paraId="2C391FC7" w14:textId="77777777" w:rsidR="00A908AC" w:rsidRDefault="00A908AC">
      <w:pPr>
        <w:pStyle w:val="Standard"/>
        <w:widowControl w:val="0"/>
        <w:ind w:firstLine="510"/>
        <w:jc w:val="both"/>
        <w:rPr>
          <w:rFonts w:ascii="Verdana" w:eastAsia="Arial Unicode MS" w:hAnsi="Verdana" w:cs="Verdana"/>
          <w:b/>
          <w:bCs/>
          <w:sz w:val="22"/>
          <w:szCs w:val="22"/>
          <w:lang w:bidi="pl-PL"/>
        </w:rPr>
      </w:pPr>
      <w:r>
        <w:rPr>
          <w:rFonts w:ascii="Verdana" w:eastAsia="Arial Unicode MS" w:hAnsi="Verdana" w:cs="Verdana"/>
          <w:sz w:val="22"/>
          <w:szCs w:val="22"/>
          <w:lang w:bidi="pl-PL"/>
        </w:rPr>
        <w:t>Podmiot wyłoniony jako nabywca w drodze przetargu jest zobowiązany do:</w:t>
      </w:r>
    </w:p>
    <w:p w14:paraId="2684E624" w14:textId="77777777" w:rsidR="00A908AC" w:rsidRDefault="00A908AC">
      <w:pPr>
        <w:pStyle w:val="Standard"/>
        <w:widowControl w:val="0"/>
        <w:numPr>
          <w:ilvl w:val="0"/>
          <w:numId w:val="1"/>
        </w:numPr>
        <w:ind w:left="851"/>
        <w:jc w:val="both"/>
        <w:rPr>
          <w:rFonts w:ascii="Verdana" w:eastAsia="Arial Unicode MS" w:hAnsi="Verdana" w:cs="Verdana"/>
          <w:sz w:val="22"/>
          <w:szCs w:val="22"/>
          <w:lang w:bidi="pl-PL"/>
        </w:rPr>
      </w:pPr>
      <w:r>
        <w:rPr>
          <w:rFonts w:ascii="Verdana" w:eastAsia="Arial Unicode MS" w:hAnsi="Verdana" w:cs="Verdana"/>
          <w:b/>
          <w:bCs/>
          <w:sz w:val="22"/>
          <w:szCs w:val="22"/>
          <w:lang w:bidi="pl-PL"/>
        </w:rPr>
        <w:t xml:space="preserve">zawarcia umowy sprzedaży nieruchomości w formie aktu notarialnego w miejscu i terminie określonym w pisemnym zawiadomieniu Prezydenta Miasta Jaworzna. </w:t>
      </w:r>
      <w:r>
        <w:rPr>
          <w:rFonts w:ascii="Verdana" w:eastAsia="Arial Unicode MS" w:hAnsi="Verdana" w:cs="Verdana"/>
          <w:sz w:val="22"/>
          <w:szCs w:val="22"/>
          <w:lang w:bidi="pl-PL"/>
        </w:rPr>
        <w:t>Nabywca nieruchomości ponosi wszelkie koszty związane z zawarciem przedmiotowej umowy;</w:t>
      </w:r>
    </w:p>
    <w:p w14:paraId="537DCC8B" w14:textId="77777777" w:rsidR="00A908AC" w:rsidRDefault="00A908AC">
      <w:pPr>
        <w:pStyle w:val="Standard"/>
        <w:widowControl w:val="0"/>
        <w:numPr>
          <w:ilvl w:val="0"/>
          <w:numId w:val="1"/>
        </w:numPr>
        <w:ind w:left="851"/>
        <w:jc w:val="both"/>
        <w:rPr>
          <w:rFonts w:ascii="Verdana" w:eastAsia="Arial Unicode MS" w:hAnsi="Verdana" w:cs="Verdana"/>
          <w:sz w:val="22"/>
          <w:szCs w:val="22"/>
          <w:lang w:bidi="pl-PL"/>
        </w:rPr>
      </w:pPr>
      <w:r>
        <w:rPr>
          <w:rFonts w:ascii="Verdana" w:eastAsia="Arial Unicode MS" w:hAnsi="Verdana" w:cs="Verdana"/>
          <w:sz w:val="22"/>
          <w:szCs w:val="22"/>
          <w:lang w:bidi="pl-PL"/>
        </w:rPr>
        <w:t xml:space="preserve">zapłaty w pieniądzu ceny nieruchomości ustalonej w wyniku przetargu, pomniejszonej o wpłacone wadium, najpóźniej </w:t>
      </w:r>
      <w:r>
        <w:rPr>
          <w:rFonts w:ascii="Verdana" w:eastAsia="Arial Unicode MS" w:hAnsi="Verdana" w:cs="Verdana"/>
          <w:b/>
          <w:bCs/>
          <w:sz w:val="22"/>
          <w:szCs w:val="22"/>
          <w:lang w:bidi="pl-PL"/>
        </w:rPr>
        <w:t xml:space="preserve">na 3 dni przed ustalonym terminem zawarcia umowy notarialnej, </w:t>
      </w:r>
      <w:r>
        <w:rPr>
          <w:rFonts w:ascii="Verdana" w:eastAsia="Arial Unicode MS" w:hAnsi="Verdana" w:cs="Verdana"/>
          <w:sz w:val="22"/>
          <w:szCs w:val="22"/>
          <w:lang w:bidi="pl-PL"/>
        </w:rPr>
        <w:t xml:space="preserve">na rachunek bankowy Urzędu Miejskiego w Jaworznie, prowadzony w </w:t>
      </w:r>
      <w:r>
        <w:rPr>
          <w:rFonts w:ascii="Verdana" w:eastAsia="Arial Unicode MS" w:hAnsi="Verdana" w:cs="Verdana"/>
          <w:b/>
          <w:bCs/>
          <w:sz w:val="22"/>
          <w:szCs w:val="22"/>
          <w:lang w:bidi="pl-PL"/>
        </w:rPr>
        <w:t>Banku Handlowym w Warszawie S.A. NRB 60 1030 1159 0000 0000 9206 6061</w:t>
      </w:r>
      <w:r>
        <w:rPr>
          <w:rFonts w:ascii="Verdana" w:eastAsia="Arial Unicode MS" w:hAnsi="Verdana" w:cs="Verdana"/>
          <w:sz w:val="22"/>
          <w:szCs w:val="22"/>
          <w:lang w:bidi="pl-PL"/>
        </w:rPr>
        <w:t>.</w:t>
      </w:r>
    </w:p>
    <w:p w14:paraId="1C1CC5B1" w14:textId="77777777" w:rsidR="00A908AC" w:rsidRDefault="00A908AC">
      <w:pPr>
        <w:pStyle w:val="Standard"/>
        <w:widowControl w:val="0"/>
        <w:ind w:left="907"/>
        <w:jc w:val="both"/>
        <w:rPr>
          <w:rFonts w:ascii="Verdana" w:eastAsia="Times New Roman" w:hAnsi="Verdana" w:cs="Verdana"/>
          <w:b/>
          <w:bCs/>
          <w:sz w:val="22"/>
          <w:szCs w:val="22"/>
        </w:rPr>
      </w:pPr>
      <w:r>
        <w:rPr>
          <w:rFonts w:ascii="Verdana" w:eastAsia="Arial Unicode MS" w:hAnsi="Verdana" w:cs="Verdana"/>
          <w:sz w:val="22"/>
          <w:szCs w:val="22"/>
          <w:lang w:bidi="pl-PL"/>
        </w:rPr>
        <w:t>Za termin zapłaty uznaje się dzień wpływu należnej kwoty na rachunek Gminy Miasta Jaworzna.</w:t>
      </w:r>
    </w:p>
    <w:p w14:paraId="16D8DEEF" w14:textId="77777777" w:rsidR="00A908AC" w:rsidRDefault="00A908AC">
      <w:pPr>
        <w:pStyle w:val="Standard"/>
        <w:widowControl w:val="0"/>
        <w:numPr>
          <w:ilvl w:val="0"/>
          <w:numId w:val="7"/>
        </w:numPr>
        <w:ind w:left="510" w:hanging="510"/>
        <w:jc w:val="both"/>
        <w:rPr>
          <w:rFonts w:ascii="Verdana" w:eastAsia="Arial Unicode MS" w:hAnsi="Verdana" w:cs="Verdana"/>
          <w:sz w:val="22"/>
          <w:szCs w:val="22"/>
          <w:lang w:bidi="pl-PL"/>
        </w:rPr>
      </w:pPr>
      <w:r>
        <w:rPr>
          <w:rFonts w:ascii="Verdana" w:eastAsia="Times New Roman" w:hAnsi="Verdana" w:cs="Verdana"/>
          <w:b/>
          <w:bCs/>
          <w:sz w:val="22"/>
          <w:szCs w:val="22"/>
        </w:rPr>
        <w:t>Dodatkowe informacje:</w:t>
      </w:r>
    </w:p>
    <w:p w14:paraId="18ED432E" w14:textId="77777777" w:rsidR="00A908AC" w:rsidRDefault="00A908AC">
      <w:pPr>
        <w:pStyle w:val="Standard"/>
        <w:widowControl w:val="0"/>
        <w:ind w:left="510"/>
        <w:jc w:val="both"/>
        <w:rPr>
          <w:rFonts w:ascii="Verdana" w:eastAsia="Arial Unicode MS" w:hAnsi="Verdana" w:cs="Verdana"/>
          <w:sz w:val="22"/>
          <w:szCs w:val="22"/>
          <w:lang w:bidi="pl-PL"/>
        </w:rPr>
      </w:pPr>
      <w:r>
        <w:rPr>
          <w:rFonts w:ascii="Verdana" w:eastAsia="Arial Unicode MS" w:hAnsi="Verdana" w:cs="Verdana"/>
          <w:sz w:val="22"/>
          <w:szCs w:val="22"/>
          <w:lang w:bidi="pl-PL"/>
        </w:rPr>
        <w:t xml:space="preserve">Nieruchomość gminna została wyznaczona do sprzedaży w drodze przetargu pisemnego nieograniczonego zarządzeniem Nr </w:t>
      </w:r>
      <w:r>
        <w:rPr>
          <w:rFonts w:ascii="Verdana" w:eastAsia="Times New Roman" w:hAnsi="Verdana" w:cs="Verdana"/>
          <w:bCs/>
          <w:spacing w:val="-6"/>
          <w:sz w:val="22"/>
          <w:szCs w:val="22"/>
        </w:rPr>
        <w:t xml:space="preserve">ON.0050.466.2024 </w:t>
      </w:r>
      <w:r>
        <w:rPr>
          <w:rFonts w:ascii="Verdana" w:eastAsia="Arial Unicode MS" w:hAnsi="Verdana" w:cs="Verdana"/>
          <w:sz w:val="22"/>
          <w:szCs w:val="22"/>
          <w:lang w:bidi="pl-PL"/>
        </w:rPr>
        <w:t xml:space="preserve">Prezydenta Miasta Jaworzna </w:t>
      </w:r>
      <w:r>
        <w:rPr>
          <w:rFonts w:ascii="Verdana" w:eastAsia="Times New Roman" w:hAnsi="Verdana" w:cs="Verdana"/>
          <w:bCs/>
          <w:spacing w:val="-6"/>
          <w:sz w:val="22"/>
          <w:szCs w:val="22"/>
        </w:rPr>
        <w:t>z 19 grudnia 2024 r.</w:t>
      </w:r>
    </w:p>
    <w:p w14:paraId="6136F2B5" w14:textId="77777777" w:rsidR="00A908AC" w:rsidRDefault="00A908AC">
      <w:pPr>
        <w:pStyle w:val="Standard"/>
        <w:widowControl w:val="0"/>
        <w:ind w:left="510"/>
        <w:jc w:val="both"/>
        <w:rPr>
          <w:rFonts w:ascii="Verdana" w:eastAsia="Arial Narrow" w:hAnsi="Verdana" w:cs="Verdana"/>
          <w:sz w:val="22"/>
          <w:szCs w:val="22"/>
          <w:lang w:bidi="pl-PL"/>
        </w:rPr>
      </w:pPr>
      <w:r>
        <w:rPr>
          <w:rFonts w:ascii="Verdana" w:eastAsia="Arial Unicode MS" w:hAnsi="Verdana" w:cs="Verdana"/>
          <w:sz w:val="22"/>
          <w:szCs w:val="22"/>
          <w:lang w:bidi="pl-PL"/>
        </w:rPr>
        <w:t>Nabywca przyjmuje nieruchomość w stanie istniejącym.</w:t>
      </w:r>
    </w:p>
    <w:p w14:paraId="1409F009" w14:textId="77777777" w:rsidR="00A908AC" w:rsidRDefault="00A908AC">
      <w:pPr>
        <w:pStyle w:val="Standard"/>
        <w:widowControl w:val="0"/>
        <w:ind w:left="510"/>
        <w:jc w:val="both"/>
        <w:rPr>
          <w:rFonts w:ascii="Verdana" w:eastAsia="Arial Unicode MS" w:hAnsi="Verdana" w:cs="Verdana"/>
          <w:sz w:val="22"/>
          <w:szCs w:val="22"/>
          <w:lang w:bidi="pl-PL"/>
        </w:rPr>
      </w:pPr>
      <w:r>
        <w:rPr>
          <w:rFonts w:ascii="Verdana" w:eastAsia="Arial Narrow" w:hAnsi="Verdana" w:cs="Verdana"/>
          <w:sz w:val="22"/>
          <w:szCs w:val="22"/>
          <w:lang w:bidi="pl-PL"/>
        </w:rPr>
        <w:t>Przetarg może się odbyć, chociażby wpłynęła tylko jedna oferta spełniająca warunki określone w ogłoszeniu o przetargu.</w:t>
      </w:r>
    </w:p>
    <w:p w14:paraId="5C4A3A6C" w14:textId="77777777" w:rsidR="00A908AC" w:rsidRDefault="00A908AC">
      <w:pPr>
        <w:pStyle w:val="Standard"/>
        <w:widowControl w:val="0"/>
        <w:ind w:left="510"/>
        <w:jc w:val="both"/>
        <w:rPr>
          <w:rFonts w:ascii="Verdana" w:eastAsia="Arial Unicode MS" w:hAnsi="Verdana" w:cs="Verdana"/>
          <w:sz w:val="22"/>
          <w:szCs w:val="22"/>
          <w:lang w:bidi="pl-PL"/>
        </w:rPr>
      </w:pPr>
      <w:r>
        <w:rPr>
          <w:rFonts w:ascii="Verdana" w:eastAsia="Arial Unicode MS" w:hAnsi="Verdana" w:cs="Verdana"/>
          <w:sz w:val="22"/>
          <w:szCs w:val="22"/>
          <w:lang w:bidi="pl-PL"/>
        </w:rPr>
        <w:t>O terminie zawarcia umowy w formie aktu notarialnego nabywca nieruchomości powiadomiony zostanie przez Prezydenta Miasta Jaworzna pisemnie, w ciągu 21 dni od dnia rozstrzygnięcia przetargu.</w:t>
      </w:r>
    </w:p>
    <w:p w14:paraId="26B02112" w14:textId="77777777" w:rsidR="00A908AC" w:rsidRDefault="00A908AC">
      <w:pPr>
        <w:pStyle w:val="Standard"/>
        <w:widowControl w:val="0"/>
        <w:ind w:left="510"/>
        <w:jc w:val="both"/>
        <w:rPr>
          <w:rFonts w:ascii="Verdana" w:eastAsia="Arial Unicode MS" w:hAnsi="Verdana" w:cs="Verdana"/>
          <w:sz w:val="22"/>
          <w:szCs w:val="22"/>
          <w:lang w:bidi="pl-PL"/>
        </w:rPr>
      </w:pPr>
      <w:r>
        <w:rPr>
          <w:rFonts w:ascii="Verdana" w:eastAsia="Arial Unicode MS" w:hAnsi="Verdana" w:cs="Verdana"/>
          <w:sz w:val="22"/>
          <w:szCs w:val="22"/>
          <w:lang w:bidi="pl-PL"/>
        </w:rPr>
        <w:lastRenderedPageBreak/>
        <w:t>Komisja przetargowa przeprowadzi przetarg zgodnie z rozporządzeniem Rady Ministrów z dnia 14 września 2004 r. w sprawie sposobu i trybu przeprowadzania przetargów oraz rokowań na zbycie nieruchomości (tekst jednolity: Dz. U. z 2021 r., poz. 2213).</w:t>
      </w:r>
    </w:p>
    <w:p w14:paraId="4DF16F3A" w14:textId="77777777" w:rsidR="00A908AC" w:rsidRDefault="00A908AC">
      <w:pPr>
        <w:pStyle w:val="Standard"/>
        <w:widowControl w:val="0"/>
        <w:ind w:left="510"/>
        <w:jc w:val="both"/>
        <w:rPr>
          <w:rFonts w:ascii="Verdana" w:eastAsia="Arial Unicode MS" w:hAnsi="Verdana" w:cs="Verdana"/>
          <w:sz w:val="22"/>
          <w:szCs w:val="22"/>
          <w:lang w:bidi="pl-PL"/>
        </w:rPr>
      </w:pPr>
      <w:r>
        <w:rPr>
          <w:rFonts w:ascii="Verdana" w:eastAsia="Arial Unicode MS" w:hAnsi="Verdana" w:cs="Verdana"/>
          <w:sz w:val="22"/>
          <w:szCs w:val="22"/>
          <w:lang w:bidi="pl-PL"/>
        </w:rPr>
        <w:t>Sprzedaż nieruchomości gminnej następuje na podstawie przepisów ustawy z dnia 21 sierpnia 1997 r. o gospodarce nieruchomościami (</w:t>
      </w:r>
      <w:r>
        <w:rPr>
          <w:rFonts w:ascii="Verdana" w:hAnsi="Verdana" w:cs="Verdana"/>
          <w:sz w:val="22"/>
          <w:szCs w:val="22"/>
        </w:rPr>
        <w:t xml:space="preserve">Dz. U. z 2024 r., poz. 1145 z </w:t>
      </w:r>
      <w:proofErr w:type="spellStart"/>
      <w:r>
        <w:rPr>
          <w:rFonts w:ascii="Verdana" w:hAnsi="Verdana" w:cs="Verdana"/>
          <w:sz w:val="22"/>
          <w:szCs w:val="22"/>
        </w:rPr>
        <w:t>późn</w:t>
      </w:r>
      <w:proofErr w:type="spellEnd"/>
      <w:r>
        <w:rPr>
          <w:rFonts w:ascii="Verdana" w:hAnsi="Verdana" w:cs="Verdana"/>
          <w:sz w:val="22"/>
          <w:szCs w:val="22"/>
        </w:rPr>
        <w:t>. zm.</w:t>
      </w:r>
      <w:r>
        <w:rPr>
          <w:rFonts w:ascii="Verdana" w:eastAsia="Arial Unicode MS" w:hAnsi="Verdana" w:cs="Verdana"/>
          <w:sz w:val="22"/>
          <w:szCs w:val="22"/>
          <w:lang w:bidi="pl-PL"/>
        </w:rPr>
        <w:t>).</w:t>
      </w:r>
    </w:p>
    <w:p w14:paraId="4244ED0C" w14:textId="77777777" w:rsidR="00A908AC" w:rsidRDefault="00A908AC">
      <w:pPr>
        <w:pStyle w:val="Standard"/>
        <w:widowControl w:val="0"/>
        <w:ind w:left="510"/>
        <w:jc w:val="both"/>
        <w:rPr>
          <w:rFonts w:ascii="Verdana" w:eastAsia="Arial Unicode MS" w:hAnsi="Verdana" w:cs="Verdana"/>
          <w:sz w:val="22"/>
          <w:szCs w:val="22"/>
          <w:lang w:bidi="pl-PL"/>
        </w:rPr>
      </w:pPr>
      <w:r>
        <w:rPr>
          <w:rFonts w:ascii="Verdana" w:eastAsia="Arial Unicode MS" w:hAnsi="Verdana" w:cs="Verdana"/>
          <w:sz w:val="22"/>
          <w:szCs w:val="22"/>
          <w:lang w:bidi="pl-PL"/>
        </w:rPr>
        <w:t>Wadium zwraca się niezwłocznie po odwołaniu albo zamknięciu przetargu, jednak nie później niż przed upływem trzech dni od dnia odwołania, zamknięcia, unieważnienia lub zakończenia przetargu wynikiem negatywnym, bez naliczania odsetek za okres od wpłaty do zwrotu.</w:t>
      </w:r>
    </w:p>
    <w:p w14:paraId="6946AB31" w14:textId="77777777" w:rsidR="00A908AC" w:rsidRDefault="00A908AC">
      <w:pPr>
        <w:pStyle w:val="Standard"/>
        <w:widowControl w:val="0"/>
        <w:ind w:left="510"/>
        <w:jc w:val="both"/>
        <w:rPr>
          <w:rFonts w:ascii="Verdana" w:eastAsia="Arial Unicode MS" w:hAnsi="Verdana" w:cs="Verdana"/>
          <w:sz w:val="22"/>
          <w:szCs w:val="22"/>
          <w:lang w:bidi="pl-PL"/>
        </w:rPr>
      </w:pPr>
      <w:r>
        <w:rPr>
          <w:rFonts w:ascii="Verdana" w:eastAsia="Arial Unicode MS" w:hAnsi="Verdana" w:cs="Verdana"/>
          <w:sz w:val="22"/>
          <w:szCs w:val="22"/>
          <w:lang w:bidi="pl-PL"/>
        </w:rPr>
        <w:t>Wadium wniesione w pieniądzu przez uczestnika przetargu, który przetarg wygra, zalicza się na poczet ceny nabycia nieruchomości.</w:t>
      </w:r>
    </w:p>
    <w:p w14:paraId="57225BBA" w14:textId="77777777" w:rsidR="00A908AC" w:rsidRDefault="00A908AC">
      <w:pPr>
        <w:pStyle w:val="Standard"/>
        <w:widowControl w:val="0"/>
        <w:ind w:left="510"/>
        <w:jc w:val="both"/>
        <w:rPr>
          <w:rFonts w:ascii="Verdana" w:eastAsia="Arial Unicode MS" w:hAnsi="Verdana" w:cs="Verdana"/>
          <w:sz w:val="22"/>
          <w:szCs w:val="22"/>
          <w:lang w:bidi="pl-PL"/>
        </w:rPr>
      </w:pPr>
      <w:r>
        <w:rPr>
          <w:rFonts w:ascii="Verdana" w:eastAsia="Arial Unicode MS" w:hAnsi="Verdana" w:cs="Verdana"/>
          <w:sz w:val="22"/>
          <w:szCs w:val="22"/>
          <w:lang w:bidi="pl-PL"/>
        </w:rPr>
        <w:t>W przypadku jeżeli osoba ustalona jako nabywca nieruchomości uchyli się od zawarcia umowy w miejscu i w terminie podanym w zawiadomieniu, przystąpi, ale jej nie podpisze lub nie dokona wpłaty ceny nieruchomości najpóźniej na 3 dni przed ustalonym terminem zawarcia umowy, Prezydent Miasta Jaworzna może odstąpić od zawarcia umowy, a wpłacone wadium nie podlega zwrotowi.</w:t>
      </w:r>
    </w:p>
    <w:p w14:paraId="5C25E21C" w14:textId="77777777" w:rsidR="00A908AC" w:rsidRDefault="00A908AC">
      <w:pPr>
        <w:pStyle w:val="Standard"/>
        <w:widowControl w:val="0"/>
        <w:ind w:left="510"/>
        <w:jc w:val="both"/>
        <w:rPr>
          <w:rFonts w:ascii="Verdana" w:eastAsia="Arial Unicode MS" w:hAnsi="Verdana" w:cs="Verdana"/>
          <w:sz w:val="22"/>
          <w:szCs w:val="22"/>
          <w:lang w:bidi="pl-PL"/>
        </w:rPr>
      </w:pPr>
      <w:r>
        <w:rPr>
          <w:rFonts w:ascii="Verdana" w:eastAsia="Arial Unicode MS" w:hAnsi="Verdana" w:cs="Verdana"/>
          <w:sz w:val="22"/>
          <w:szCs w:val="22"/>
          <w:lang w:bidi="pl-PL"/>
        </w:rPr>
        <w:t>Prezydent Miasta Jaworzna ma prawo do zamknięcia przetargu bez wybrania którejkolwiek z ofert. Komisja przetargowa dokonuje wyboru najkorzystniejszej oferty lub stwierdza, że nie wybiera żadnej ze złożonych ofert.</w:t>
      </w:r>
    </w:p>
    <w:p w14:paraId="34602975" w14:textId="77777777" w:rsidR="00A908AC" w:rsidRDefault="00A908AC">
      <w:pPr>
        <w:pStyle w:val="Standard"/>
        <w:widowControl w:val="0"/>
        <w:ind w:left="510"/>
        <w:jc w:val="both"/>
        <w:rPr>
          <w:rFonts w:ascii="Verdana" w:hAnsi="Verdana" w:cs="Verdana"/>
          <w:sz w:val="22"/>
          <w:szCs w:val="22"/>
        </w:rPr>
      </w:pPr>
      <w:r>
        <w:rPr>
          <w:rFonts w:ascii="Verdana" w:eastAsia="Arial Unicode MS" w:hAnsi="Verdana" w:cs="Verdana"/>
          <w:sz w:val="22"/>
          <w:szCs w:val="22"/>
          <w:lang w:bidi="pl-PL"/>
        </w:rPr>
        <w:t>Prezydent Miasta Jaworzna może odwołać przetarg jedynie z ważnych powodów, niezwłocznie podając informację o odwołaniu przetargu do publicznej wiadomości.</w:t>
      </w:r>
    </w:p>
    <w:p w14:paraId="68234CD0" w14:textId="77777777" w:rsidR="00A908AC" w:rsidRDefault="00A908AC">
      <w:pPr>
        <w:pStyle w:val="Standard"/>
        <w:widowControl w:val="0"/>
        <w:ind w:left="510"/>
        <w:jc w:val="both"/>
        <w:rPr>
          <w:rFonts w:ascii="Verdana" w:eastAsia="Arial Unicode MS" w:hAnsi="Verdana" w:cs="Verdana"/>
          <w:sz w:val="22"/>
          <w:szCs w:val="22"/>
          <w:lang w:bidi="pl-PL"/>
        </w:rPr>
      </w:pPr>
      <w:r>
        <w:rPr>
          <w:rFonts w:ascii="Verdana" w:hAnsi="Verdana" w:cs="Verdana"/>
          <w:sz w:val="22"/>
          <w:szCs w:val="22"/>
        </w:rPr>
        <w:t>Niniejsze ogłoszenie zamieszczone zostanie na stronie internetowej Katowickiej Specjalnej Strefy Ekonomicznej S.A. www.ksse.com.pl oraz w siedzibie Katowickiej Specjalnej Strefy Ekonomicznej S.A., na stronie internetowej Biuletynu Informacji Publicznej Urzędu Miejskiego w Jaworznie www.bip.jaworzno.pl, w zakładce „Komunikaty i obwieszczenia” – „Nieruchomości” oraz na tablicy ogłoszeń w budynku głównym Urzędu Miejskiego w Jaworznie przy ul. Grunwaldzkiej 33</w:t>
      </w:r>
      <w:r>
        <w:rPr>
          <w:rFonts w:ascii="Verdana" w:eastAsia="Arial Unicode MS" w:hAnsi="Verdana" w:cs="Verdana"/>
          <w:sz w:val="22"/>
          <w:szCs w:val="22"/>
          <w:lang w:bidi="pl-PL"/>
        </w:rPr>
        <w:t>.</w:t>
      </w:r>
    </w:p>
    <w:p w14:paraId="2D46A334" w14:textId="77777777" w:rsidR="00A908AC" w:rsidRDefault="00A908AC">
      <w:pPr>
        <w:pStyle w:val="Standard"/>
        <w:widowControl w:val="0"/>
        <w:ind w:left="510"/>
        <w:jc w:val="both"/>
        <w:rPr>
          <w:rFonts w:ascii="Verdana" w:hAnsi="Verdana" w:cs="Verdana" w:hint="eastAsia"/>
          <w:sz w:val="22"/>
          <w:szCs w:val="22"/>
        </w:rPr>
      </w:pPr>
      <w:r>
        <w:rPr>
          <w:rFonts w:ascii="Verdana" w:eastAsia="Arial Unicode MS" w:hAnsi="Verdana" w:cs="Verdana"/>
          <w:sz w:val="22"/>
          <w:szCs w:val="22"/>
          <w:lang w:bidi="pl-PL"/>
        </w:rPr>
        <w:t>Szczegółowe informacje dot. procedury przetargowej uzyskać można w siedzibie Katowickiej Specjalnej Strefy Ekonomicznej S.A. Podstrefy Sosnowiecko-Dąbrowskiej w Sosnowcu, ul. Żytnia 8, tel. 32 298 89 69, w Wydziale Obrotu Nieruchomościami Urzędu Miejskiego w Jaworznie, Plac Górników 5, pok. 19, tel. 32 618 16 36.</w:t>
      </w:r>
    </w:p>
    <w:p w14:paraId="09EFBAFD" w14:textId="77777777" w:rsidR="005C7577" w:rsidRDefault="005C7577">
      <w:pPr>
        <w:pStyle w:val="Standard"/>
        <w:spacing w:after="160"/>
        <w:rPr>
          <w:rFonts w:ascii="Verdana" w:hAnsi="Verdana" w:cs="Verdana" w:hint="eastAsia"/>
          <w:sz w:val="22"/>
          <w:szCs w:val="22"/>
        </w:rPr>
      </w:pPr>
    </w:p>
    <w:sectPr w:rsidR="005C757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auto"/>
    <w:pitch w:val="variable"/>
  </w:font>
  <w:font w:name="NSimSun">
    <w:panose1 w:val="02010609030101010101"/>
    <w:charset w:val="86"/>
    <w:family w:val="modern"/>
    <w:pitch w:val="fixed"/>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G Mincho Light J">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397" w:hanging="397"/>
      </w:pPr>
      <w:rPr>
        <w:rFonts w:ascii="Verdana" w:hAnsi="Verdana" w:cs="Verdana" w:hint="default"/>
        <w:b/>
        <w:bCs/>
        <w:sz w:val="22"/>
        <w:szCs w:val="22"/>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0" w:firstLine="0"/>
      </w:pPr>
      <w:rPr>
        <w:rFonts w:cs="Verdana"/>
        <w:sz w:val="22"/>
        <w:szCs w:val="22"/>
      </w:rPr>
    </w:lvl>
    <w:lvl w:ilvl="1">
      <w:start w:val="1"/>
      <w:numFmt w:val="decimal"/>
      <w:lvlText w:val="%2)"/>
      <w:lvlJc w:val="left"/>
      <w:pPr>
        <w:tabs>
          <w:tab w:val="num" w:pos="0"/>
        </w:tabs>
        <w:ind w:left="360" w:hanging="360"/>
      </w:pPr>
      <w:rPr>
        <w:rFonts w:ascii="Verdana" w:hAnsi="Verdana" w:cs="Verdana" w:hint="default"/>
        <w:b w:val="0"/>
        <w:i w:val="0"/>
        <w:sz w:val="22"/>
      </w:r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0" w:firstLine="0"/>
      </w:pPr>
      <w:rPr>
        <w:rFonts w:cs="Verdana"/>
        <w:sz w:val="22"/>
        <w:szCs w:val="22"/>
      </w:rPr>
    </w:lvl>
    <w:lvl w:ilvl="1">
      <w:start w:val="1"/>
      <w:numFmt w:val="decimal"/>
      <w:lvlText w:val=")"/>
      <w:lvlJc w:val="left"/>
      <w:pPr>
        <w:tabs>
          <w:tab w:val="num" w:pos="0"/>
        </w:tabs>
        <w:ind w:left="360" w:hanging="360"/>
      </w:pPr>
    </w:lvl>
    <w:lvl w:ilvl="2">
      <w:start w:val="1"/>
      <w:numFmt w:val="lowerLetter"/>
      <w:lvlText w:val="%3)"/>
      <w:lvlJc w:val="left"/>
      <w:pPr>
        <w:tabs>
          <w:tab w:val="num" w:pos="0"/>
        </w:tabs>
        <w:ind w:left="360" w:hanging="360"/>
      </w:pPr>
      <w:rPr>
        <w:rFonts w:ascii="Verdana" w:hAnsi="Verdana" w:cs="Verdana" w:hint="default"/>
        <w:b w:val="0"/>
        <w:i w:val="0"/>
        <w:sz w:val="22"/>
      </w:r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17" w:hanging="360"/>
      </w:pPr>
    </w:lvl>
    <w:lvl w:ilvl="1">
      <w:start w:val="1"/>
      <w:numFmt w:val="lowerLetter"/>
      <w:lvlText w:val="."/>
      <w:lvlJc w:val="left"/>
      <w:pPr>
        <w:tabs>
          <w:tab w:val="num" w:pos="0"/>
        </w:tabs>
        <w:ind w:left="1437" w:hanging="360"/>
      </w:pPr>
    </w:lvl>
    <w:lvl w:ilvl="2">
      <w:start w:val="1"/>
      <w:numFmt w:val="lowerRoman"/>
      <w:lvlText w:val="."/>
      <w:lvlJc w:val="right"/>
      <w:pPr>
        <w:tabs>
          <w:tab w:val="num" w:pos="0"/>
        </w:tabs>
        <w:ind w:left="2157" w:hanging="180"/>
      </w:pPr>
    </w:lvl>
    <w:lvl w:ilvl="3">
      <w:start w:val="1"/>
      <w:numFmt w:val="decimal"/>
      <w:lvlText w:val="."/>
      <w:lvlJc w:val="left"/>
      <w:pPr>
        <w:tabs>
          <w:tab w:val="num" w:pos="0"/>
        </w:tabs>
        <w:ind w:left="2877" w:hanging="360"/>
      </w:pPr>
    </w:lvl>
    <w:lvl w:ilvl="4">
      <w:start w:val="1"/>
      <w:numFmt w:val="lowerLetter"/>
      <w:lvlText w:val="."/>
      <w:lvlJc w:val="left"/>
      <w:pPr>
        <w:tabs>
          <w:tab w:val="num" w:pos="0"/>
        </w:tabs>
        <w:ind w:left="3597" w:hanging="360"/>
      </w:pPr>
    </w:lvl>
    <w:lvl w:ilvl="5">
      <w:start w:val="1"/>
      <w:numFmt w:val="lowerRoman"/>
      <w:lvlText w:val="."/>
      <w:lvlJc w:val="right"/>
      <w:pPr>
        <w:tabs>
          <w:tab w:val="num" w:pos="0"/>
        </w:tabs>
        <w:ind w:left="4317" w:hanging="180"/>
      </w:pPr>
    </w:lvl>
    <w:lvl w:ilvl="6">
      <w:start w:val="1"/>
      <w:numFmt w:val="decimal"/>
      <w:lvlText w:val="."/>
      <w:lvlJc w:val="left"/>
      <w:pPr>
        <w:tabs>
          <w:tab w:val="num" w:pos="0"/>
        </w:tabs>
        <w:ind w:left="5037" w:hanging="360"/>
      </w:pPr>
    </w:lvl>
    <w:lvl w:ilvl="7">
      <w:start w:val="1"/>
      <w:numFmt w:val="lowerLetter"/>
      <w:lvlText w:val="."/>
      <w:lvlJc w:val="left"/>
      <w:pPr>
        <w:tabs>
          <w:tab w:val="num" w:pos="0"/>
        </w:tabs>
        <w:ind w:left="5757" w:hanging="360"/>
      </w:pPr>
    </w:lvl>
    <w:lvl w:ilvl="8">
      <w:start w:val="1"/>
      <w:numFmt w:val="lowerRoman"/>
      <w:lvlText w:val="."/>
      <w:lvlJc w:val="right"/>
      <w:pPr>
        <w:tabs>
          <w:tab w:val="num" w:pos="0"/>
        </w:tabs>
        <w:ind w:left="6477"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0" w:firstLine="0"/>
      </w:pPr>
      <w:rPr>
        <w:rFonts w:cs="Verdana"/>
        <w:sz w:val="22"/>
        <w:szCs w:val="22"/>
      </w:rPr>
    </w:lvl>
    <w:lvl w:ilvl="1">
      <w:start w:val="1"/>
      <w:numFmt w:val="decimal"/>
      <w:lvlText w:val=")"/>
      <w:lvlJc w:val="left"/>
      <w:pPr>
        <w:tabs>
          <w:tab w:val="num" w:pos="0"/>
        </w:tabs>
        <w:ind w:left="360" w:hanging="360"/>
      </w:pPr>
    </w:lvl>
    <w:lvl w:ilvl="2">
      <w:start w:val="1"/>
      <w:numFmt w:val="lowerLetter"/>
      <w:lvlText w:val="%3)"/>
      <w:lvlJc w:val="left"/>
      <w:pPr>
        <w:tabs>
          <w:tab w:val="num" w:pos="0"/>
        </w:tabs>
        <w:ind w:left="360" w:hanging="360"/>
      </w:pPr>
      <w:rPr>
        <w:rFonts w:ascii="Verdana" w:hAnsi="Verdana" w:cs="Verdana" w:hint="default"/>
        <w:b w:val="0"/>
        <w:i w:val="0"/>
        <w:sz w:val="22"/>
      </w:r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0" w:firstLine="0"/>
      </w:pPr>
      <w:rPr>
        <w:rFonts w:cs="Verdana"/>
        <w:sz w:val="22"/>
        <w:szCs w:val="22"/>
      </w:rPr>
    </w:lvl>
    <w:lvl w:ilvl="1">
      <w:start w:val="1"/>
      <w:numFmt w:val="decimal"/>
      <w:lvlText w:val=")"/>
      <w:lvlJc w:val="left"/>
      <w:pPr>
        <w:tabs>
          <w:tab w:val="num" w:pos="0"/>
        </w:tabs>
        <w:ind w:left="360" w:hanging="360"/>
      </w:pPr>
    </w:lvl>
    <w:lvl w:ilvl="2">
      <w:start w:val="1"/>
      <w:numFmt w:val="lowerLetter"/>
      <w:lvlText w:val="%3)"/>
      <w:lvlJc w:val="left"/>
      <w:pPr>
        <w:tabs>
          <w:tab w:val="num" w:pos="0"/>
        </w:tabs>
        <w:ind w:left="360" w:hanging="360"/>
      </w:pPr>
      <w:rPr>
        <w:rFonts w:ascii="Verdana" w:hAnsi="Verdana" w:cs="Verdana" w:hint="default"/>
        <w:b w:val="0"/>
        <w:i w:val="0"/>
        <w:sz w:val="22"/>
      </w:r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rPr>
        <w:rFonts w:ascii="Verdana" w:hAnsi="Verdana" w:cs="Verdana"/>
        <w:b w:val="0"/>
        <w:i w:val="0"/>
        <w:sz w:val="22"/>
      </w:rPr>
    </w:lvl>
    <w:lvl w:ilvl="1">
      <w:start w:val="1"/>
      <w:numFmt w:val="lowerLetter"/>
      <w:lvlText w:val="."/>
      <w:lvlJc w:val="left"/>
      <w:pPr>
        <w:tabs>
          <w:tab w:val="num" w:pos="0"/>
        </w:tabs>
        <w:ind w:left="1440" w:hanging="360"/>
      </w:pPr>
    </w:lvl>
    <w:lvl w:ilvl="2">
      <w:start w:val="1"/>
      <w:numFmt w:val="lowerRoman"/>
      <w:lvlText w:val="."/>
      <w:lvlJc w:val="right"/>
      <w:pPr>
        <w:tabs>
          <w:tab w:val="num" w:pos="0"/>
        </w:tabs>
        <w:ind w:left="2160" w:hanging="180"/>
      </w:pPr>
    </w:lvl>
    <w:lvl w:ilvl="3">
      <w:start w:val="1"/>
      <w:numFmt w:val="decimal"/>
      <w:lvlText w:val="."/>
      <w:lvlJc w:val="left"/>
      <w:pPr>
        <w:tabs>
          <w:tab w:val="num" w:pos="0"/>
        </w:tabs>
        <w:ind w:left="2880" w:hanging="360"/>
      </w:pPr>
    </w:lvl>
    <w:lvl w:ilvl="4">
      <w:start w:val="1"/>
      <w:numFmt w:val="lowerLetter"/>
      <w:lvlText w:val="."/>
      <w:lvlJc w:val="left"/>
      <w:pPr>
        <w:tabs>
          <w:tab w:val="num" w:pos="0"/>
        </w:tabs>
        <w:ind w:left="3600" w:hanging="360"/>
      </w:pPr>
    </w:lvl>
    <w:lvl w:ilvl="5">
      <w:start w:val="1"/>
      <w:numFmt w:val="lowerRoman"/>
      <w:lvlText w:val="."/>
      <w:lvlJc w:val="right"/>
      <w:pPr>
        <w:tabs>
          <w:tab w:val="num" w:pos="0"/>
        </w:tabs>
        <w:ind w:left="4320" w:hanging="180"/>
      </w:pPr>
    </w:lvl>
    <w:lvl w:ilvl="6">
      <w:start w:val="1"/>
      <w:numFmt w:val="decimal"/>
      <w:lvlText w:val="."/>
      <w:lvlJc w:val="left"/>
      <w:pPr>
        <w:tabs>
          <w:tab w:val="num" w:pos="0"/>
        </w:tabs>
        <w:ind w:left="5040" w:hanging="360"/>
      </w:pPr>
    </w:lvl>
    <w:lvl w:ilvl="7">
      <w:start w:val="1"/>
      <w:numFmt w:val="lowerLetter"/>
      <w:lvlText w:val="."/>
      <w:lvlJc w:val="left"/>
      <w:pPr>
        <w:tabs>
          <w:tab w:val="num" w:pos="0"/>
        </w:tabs>
        <w:ind w:left="5760" w:hanging="360"/>
      </w:pPr>
    </w:lvl>
    <w:lvl w:ilvl="8">
      <w:start w:val="1"/>
      <w:numFmt w:val="lowerRoman"/>
      <w:lvlText w:val="."/>
      <w:lvlJc w:val="right"/>
      <w:pPr>
        <w:tabs>
          <w:tab w:val="num" w:pos="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5464" w:hanging="360"/>
      </w:pPr>
    </w:lvl>
    <w:lvl w:ilvl="1">
      <w:start w:val="1"/>
      <w:numFmt w:val="lowerLetter"/>
      <w:lvlText w:val="."/>
      <w:lvlJc w:val="left"/>
      <w:pPr>
        <w:tabs>
          <w:tab w:val="num" w:pos="0"/>
        </w:tabs>
        <w:ind w:left="1437" w:hanging="360"/>
      </w:pPr>
    </w:lvl>
    <w:lvl w:ilvl="2">
      <w:start w:val="1"/>
      <w:numFmt w:val="lowerRoman"/>
      <w:lvlText w:val="."/>
      <w:lvlJc w:val="right"/>
      <w:pPr>
        <w:tabs>
          <w:tab w:val="num" w:pos="0"/>
        </w:tabs>
        <w:ind w:left="2157" w:hanging="180"/>
      </w:pPr>
    </w:lvl>
    <w:lvl w:ilvl="3">
      <w:start w:val="1"/>
      <w:numFmt w:val="decimal"/>
      <w:lvlText w:val="."/>
      <w:lvlJc w:val="left"/>
      <w:pPr>
        <w:tabs>
          <w:tab w:val="num" w:pos="0"/>
        </w:tabs>
        <w:ind w:left="2877" w:hanging="360"/>
      </w:pPr>
    </w:lvl>
    <w:lvl w:ilvl="4">
      <w:start w:val="1"/>
      <w:numFmt w:val="lowerLetter"/>
      <w:lvlText w:val="."/>
      <w:lvlJc w:val="left"/>
      <w:pPr>
        <w:tabs>
          <w:tab w:val="num" w:pos="0"/>
        </w:tabs>
        <w:ind w:left="3597" w:hanging="360"/>
      </w:pPr>
    </w:lvl>
    <w:lvl w:ilvl="5">
      <w:start w:val="1"/>
      <w:numFmt w:val="lowerRoman"/>
      <w:lvlText w:val="."/>
      <w:lvlJc w:val="right"/>
      <w:pPr>
        <w:tabs>
          <w:tab w:val="num" w:pos="0"/>
        </w:tabs>
        <w:ind w:left="4317" w:hanging="180"/>
      </w:pPr>
    </w:lvl>
    <w:lvl w:ilvl="6">
      <w:start w:val="1"/>
      <w:numFmt w:val="decimal"/>
      <w:lvlText w:val="."/>
      <w:lvlJc w:val="left"/>
      <w:pPr>
        <w:tabs>
          <w:tab w:val="num" w:pos="0"/>
        </w:tabs>
        <w:ind w:left="5037" w:hanging="360"/>
      </w:pPr>
    </w:lvl>
    <w:lvl w:ilvl="7">
      <w:start w:val="1"/>
      <w:numFmt w:val="lowerLetter"/>
      <w:lvlText w:val="."/>
      <w:lvlJc w:val="left"/>
      <w:pPr>
        <w:tabs>
          <w:tab w:val="num" w:pos="0"/>
        </w:tabs>
        <w:ind w:left="5757" w:hanging="360"/>
      </w:pPr>
    </w:lvl>
    <w:lvl w:ilvl="8">
      <w:start w:val="1"/>
      <w:numFmt w:val="lowerRoman"/>
      <w:lvlText w:val="."/>
      <w:lvlJc w:val="right"/>
      <w:pPr>
        <w:tabs>
          <w:tab w:val="num" w:pos="0"/>
        </w:tabs>
        <w:ind w:left="6477"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360" w:hanging="360"/>
      </w:pPr>
      <w:rPr>
        <w:rFonts w:ascii="Verdana" w:eastAsia="Times New Roman" w:hAnsi="Verdana" w:cs="Verdana"/>
        <w:b w:val="0"/>
        <w:bCs/>
        <w:sz w:val="22"/>
        <w:szCs w:val="22"/>
      </w:rPr>
    </w:lvl>
    <w:lvl w:ilvl="1">
      <w:start w:val="1"/>
      <w:numFmt w:val="lowerLetter"/>
      <w:lvlText w:val="."/>
      <w:lvlJc w:val="left"/>
      <w:pPr>
        <w:tabs>
          <w:tab w:val="num" w:pos="0"/>
        </w:tabs>
        <w:ind w:left="0" w:firstLine="0"/>
      </w:pPr>
    </w:lvl>
    <w:lvl w:ilvl="2">
      <w:start w:val="1"/>
      <w:numFmt w:val="lowerRoman"/>
      <w:lvlText w:val="."/>
      <w:lvlJc w:val="right"/>
      <w:pPr>
        <w:tabs>
          <w:tab w:val="num" w:pos="0"/>
        </w:tabs>
        <w:ind w:left="0" w:firstLine="0"/>
      </w:pPr>
    </w:lvl>
    <w:lvl w:ilvl="3">
      <w:start w:val="1"/>
      <w:numFmt w:val="decimal"/>
      <w:lvlText w:val="."/>
      <w:lvlJc w:val="left"/>
      <w:pPr>
        <w:tabs>
          <w:tab w:val="num" w:pos="0"/>
        </w:tabs>
        <w:ind w:left="0" w:firstLine="0"/>
      </w:pPr>
    </w:lvl>
    <w:lvl w:ilvl="4">
      <w:start w:val="1"/>
      <w:numFmt w:val="lowerLetter"/>
      <w:lvlText w:val="."/>
      <w:lvlJc w:val="left"/>
      <w:pPr>
        <w:tabs>
          <w:tab w:val="num" w:pos="0"/>
        </w:tabs>
        <w:ind w:left="0" w:firstLine="0"/>
      </w:pPr>
    </w:lvl>
    <w:lvl w:ilvl="5">
      <w:start w:val="1"/>
      <w:numFmt w:val="lowerRoman"/>
      <w:lvlText w:val="."/>
      <w:lvlJc w:val="right"/>
      <w:pPr>
        <w:tabs>
          <w:tab w:val="num" w:pos="0"/>
        </w:tabs>
        <w:ind w:left="0" w:firstLine="0"/>
      </w:pPr>
    </w:lvl>
    <w:lvl w:ilvl="6">
      <w:start w:val="1"/>
      <w:numFmt w:val="decimal"/>
      <w:lvlText w:val="."/>
      <w:lvlJc w:val="left"/>
      <w:pPr>
        <w:tabs>
          <w:tab w:val="num" w:pos="0"/>
        </w:tabs>
        <w:ind w:left="0" w:firstLine="0"/>
      </w:pPr>
    </w:lvl>
    <w:lvl w:ilvl="7">
      <w:start w:val="1"/>
      <w:numFmt w:val="lowerLetter"/>
      <w:lvlText w:val="."/>
      <w:lvlJc w:val="left"/>
      <w:pPr>
        <w:tabs>
          <w:tab w:val="num" w:pos="0"/>
        </w:tabs>
        <w:ind w:left="0" w:firstLine="0"/>
      </w:pPr>
    </w:lvl>
    <w:lvl w:ilvl="8">
      <w:start w:val="1"/>
      <w:numFmt w:val="lowerRoman"/>
      <w:lvlText w:val="."/>
      <w:lvlJc w:val="right"/>
      <w:pPr>
        <w:tabs>
          <w:tab w:val="num" w:pos="0"/>
        </w:tabs>
        <w:ind w:left="0" w:firstLine="0"/>
      </w:pPr>
    </w:lvl>
  </w:abstractNum>
  <w:abstractNum w:abstractNumId="9"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87816747">
    <w:abstractNumId w:val="0"/>
  </w:num>
  <w:num w:numId="2" w16cid:durableId="1497720533">
    <w:abstractNumId w:val="1"/>
  </w:num>
  <w:num w:numId="3" w16cid:durableId="1282804669">
    <w:abstractNumId w:val="2"/>
  </w:num>
  <w:num w:numId="4" w16cid:durableId="1894269601">
    <w:abstractNumId w:val="3"/>
  </w:num>
  <w:num w:numId="5" w16cid:durableId="1677463360">
    <w:abstractNumId w:val="4"/>
  </w:num>
  <w:num w:numId="6" w16cid:durableId="744649944">
    <w:abstractNumId w:val="5"/>
  </w:num>
  <w:num w:numId="7" w16cid:durableId="1335109034">
    <w:abstractNumId w:val="6"/>
  </w:num>
  <w:num w:numId="8" w16cid:durableId="644701599">
    <w:abstractNumId w:val="7"/>
  </w:num>
  <w:num w:numId="9" w16cid:durableId="1601376260">
    <w:abstractNumId w:val="8"/>
  </w:num>
  <w:num w:numId="10" w16cid:durableId="1563056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B6D"/>
    <w:rsid w:val="002C4253"/>
    <w:rsid w:val="005C7577"/>
    <w:rsid w:val="00A908AC"/>
    <w:rsid w:val="00F73B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962B5A5"/>
  <w15:chartTrackingRefBased/>
  <w15:docId w15:val="{A88E47F7-A9B6-4D01-9137-EF9C1885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textAlignment w:val="baseline"/>
    </w:pPr>
    <w:rPr>
      <w:rFonts w:ascii="Verdana" w:hAnsi="Verdana" w:cs="Verdana"/>
      <w:color w:val="000000"/>
      <w:kern w:val="2"/>
      <w:sz w:val="22"/>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Verdana" w:hAnsi="Verdana" w:cs="Verdana" w:hint="default"/>
      <w:b/>
      <w:bCs/>
      <w:sz w:val="22"/>
      <w:szCs w:val="22"/>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z1">
    <w:name w:val="WW8Num1z1"/>
    <w:rPr>
      <w:rFonts w:hint="default"/>
    </w:rPr>
  </w:style>
  <w:style w:type="character" w:customStyle="1" w:styleId="WW8Num2z0">
    <w:name w:val="WW8Num2z0"/>
    <w:rPr>
      <w:rFonts w:cs="Verdana"/>
      <w:sz w:val="22"/>
      <w:szCs w:val="22"/>
    </w:rPr>
  </w:style>
  <w:style w:type="character" w:customStyle="1" w:styleId="WW8Num2z1">
    <w:name w:val="WW8Num2z1"/>
    <w:rPr>
      <w:rFonts w:ascii="Verdana" w:hAnsi="Verdana" w:cs="Verdana" w:hint="default"/>
      <w:b w:val="0"/>
      <w:i w:val="0"/>
      <w:sz w:val="22"/>
    </w:rPr>
  </w:style>
  <w:style w:type="character" w:customStyle="1" w:styleId="WW8Num3z0">
    <w:name w:val="WW8Num3z0"/>
    <w:rPr>
      <w:rFonts w:cs="Verdana"/>
      <w:sz w:val="22"/>
      <w:szCs w:val="22"/>
    </w:rPr>
  </w:style>
  <w:style w:type="character" w:customStyle="1" w:styleId="WW8Num3z2">
    <w:name w:val="WW8Num3z2"/>
    <w:rPr>
      <w:rFonts w:ascii="Verdana" w:hAnsi="Verdana" w:cs="Verdana" w:hint="default"/>
      <w:b w:val="0"/>
      <w:i w:val="0"/>
      <w:sz w:val="22"/>
    </w:rPr>
  </w:style>
  <w:style w:type="character" w:customStyle="1" w:styleId="WW8Num5z0">
    <w:name w:val="WW8Num5z0"/>
    <w:rPr>
      <w:rFonts w:cs="Verdana"/>
      <w:sz w:val="22"/>
      <w:szCs w:val="22"/>
    </w:rPr>
  </w:style>
  <w:style w:type="character" w:customStyle="1" w:styleId="WW8Num5z2">
    <w:name w:val="WW8Num5z2"/>
    <w:rPr>
      <w:rFonts w:ascii="Verdana" w:hAnsi="Verdana" w:cs="Verdana" w:hint="default"/>
      <w:b w:val="0"/>
      <w:i w:val="0"/>
      <w:sz w:val="22"/>
    </w:rPr>
  </w:style>
  <w:style w:type="character" w:customStyle="1" w:styleId="WW8Num6z0">
    <w:name w:val="WW8Num6z0"/>
    <w:rPr>
      <w:rFonts w:cs="Verdana"/>
      <w:sz w:val="22"/>
      <w:szCs w:val="22"/>
    </w:rPr>
  </w:style>
  <w:style w:type="character" w:customStyle="1" w:styleId="WW8Num6z2">
    <w:name w:val="WW8Num6z2"/>
    <w:rPr>
      <w:rFonts w:ascii="Verdana" w:hAnsi="Verdana" w:cs="Verdana" w:hint="default"/>
      <w:b w:val="0"/>
      <w:i w:val="0"/>
      <w:sz w:val="22"/>
    </w:rPr>
  </w:style>
  <w:style w:type="character" w:customStyle="1" w:styleId="WW8Num7z0">
    <w:name w:val="WW8Num7z0"/>
    <w:rPr>
      <w:rFonts w:ascii="Verdana" w:hAnsi="Verdana" w:cs="Verdana"/>
      <w:b w:val="0"/>
      <w:i w:val="0"/>
      <w:sz w:val="22"/>
    </w:rPr>
  </w:style>
  <w:style w:type="character" w:customStyle="1" w:styleId="WW8Num9z0">
    <w:name w:val="WW8Num9z0"/>
    <w:rPr>
      <w:rFonts w:ascii="Verdana" w:eastAsia="Times New Roman" w:hAnsi="Verdana" w:cs="Verdana"/>
      <w:b w:val="0"/>
      <w:bCs/>
      <w:sz w:val="22"/>
      <w:szCs w:val="22"/>
    </w:rPr>
  </w:style>
  <w:style w:type="character" w:customStyle="1" w:styleId="Domylnaczcionkaakapitu2">
    <w:name w:val="Domyślna czcionka akapitu2"/>
  </w:style>
  <w:style w:type="character" w:customStyle="1" w:styleId="WW8Num3z1">
    <w:name w:val="WW8Num3z1"/>
    <w:rPr>
      <w:rFonts w:hint="default"/>
    </w:rPr>
  </w:style>
  <w:style w:type="character" w:customStyle="1" w:styleId="WW8Num4z0">
    <w:name w:val="WW8Num4z0"/>
    <w:rPr>
      <w:rFonts w:cs="Verdana"/>
      <w:sz w:val="22"/>
      <w:szCs w:val="22"/>
    </w:rPr>
  </w:style>
  <w:style w:type="character" w:customStyle="1" w:styleId="WW8Num4z1">
    <w:name w:val="WW8Num4z1"/>
    <w:rPr>
      <w:rFonts w:ascii="Verdana" w:hAnsi="Verdana" w:cs="Verdana" w:hint="default"/>
      <w:b w:val="0"/>
      <w:i w:val="0"/>
      <w:sz w:val="22"/>
    </w:rPr>
  </w:style>
  <w:style w:type="character" w:customStyle="1" w:styleId="WW8Num8z0">
    <w:name w:val="WW8Num8z0"/>
    <w:rPr>
      <w:b/>
      <w:bCs/>
      <w:sz w:val="22"/>
      <w:szCs w:val="22"/>
    </w:rPr>
  </w:style>
  <w:style w:type="character" w:customStyle="1" w:styleId="WW8Num11z0">
    <w:name w:val="WW8Num11z0"/>
    <w:rPr>
      <w:rFonts w:cs="Verdana"/>
      <w:sz w:val="22"/>
      <w:szCs w:val="22"/>
    </w:rPr>
  </w:style>
  <w:style w:type="character" w:customStyle="1" w:styleId="WW8Num11z2">
    <w:name w:val="WW8Num11z2"/>
    <w:rPr>
      <w:rFonts w:ascii="Verdana" w:hAnsi="Verdana" w:cs="Verdana"/>
      <w:b w:val="0"/>
      <w:i w:val="0"/>
      <w:sz w:val="22"/>
    </w:rPr>
  </w:style>
  <w:style w:type="character" w:customStyle="1" w:styleId="WW8Num12z0">
    <w:name w:val="WW8Num12z0"/>
    <w:rPr>
      <w:rFonts w:cs="Verdana"/>
      <w:sz w:val="22"/>
      <w:szCs w:val="22"/>
    </w:rPr>
  </w:style>
  <w:style w:type="character" w:customStyle="1" w:styleId="WW8Num13z0">
    <w:name w:val="WW8Num13z0"/>
    <w:rPr>
      <w:rFonts w:cs="Verdana"/>
      <w:sz w:val="22"/>
      <w:szCs w:val="22"/>
    </w:rPr>
  </w:style>
  <w:style w:type="character" w:customStyle="1" w:styleId="WW8Num13z2">
    <w:name w:val="WW8Num13z2"/>
    <w:rPr>
      <w:rFonts w:ascii="Verdana" w:hAnsi="Verdana" w:cs="Verdana"/>
      <w:b w:val="0"/>
      <w:i w:val="0"/>
      <w:sz w:val="22"/>
    </w:rPr>
  </w:style>
  <w:style w:type="character" w:customStyle="1" w:styleId="WW8Num14z0">
    <w:name w:val="WW8Num14z0"/>
    <w:rPr>
      <w:rFonts w:cs="Verdana"/>
      <w:sz w:val="22"/>
      <w:szCs w:val="22"/>
    </w:rPr>
  </w:style>
  <w:style w:type="character" w:customStyle="1" w:styleId="WW8Num15z0">
    <w:name w:val="WW8Num15z0"/>
    <w:rPr>
      <w:rFonts w:cs="Verdana"/>
      <w:sz w:val="22"/>
      <w:szCs w:val="22"/>
    </w:rPr>
  </w:style>
  <w:style w:type="character" w:customStyle="1" w:styleId="WW8Num16z0">
    <w:name w:val="WW8Num16z0"/>
    <w:rPr>
      <w:rFonts w:cs="Verdana"/>
      <w:sz w:val="22"/>
      <w:szCs w:val="22"/>
    </w:rPr>
  </w:style>
  <w:style w:type="character" w:customStyle="1" w:styleId="WW8Num16z2">
    <w:name w:val="WW8Num16z2"/>
    <w:rPr>
      <w:rFonts w:ascii="Verdana" w:hAnsi="Verdana" w:cs="Verdana"/>
      <w:b w:val="0"/>
      <w:i w:val="0"/>
      <w:sz w:val="22"/>
    </w:rPr>
  </w:style>
  <w:style w:type="character" w:customStyle="1" w:styleId="WW8Num17z0">
    <w:name w:val="WW8Num17z0"/>
    <w:rPr>
      <w:rFonts w:cs="Verdana"/>
      <w:sz w:val="22"/>
      <w:szCs w:val="22"/>
    </w:rPr>
  </w:style>
  <w:style w:type="character" w:customStyle="1" w:styleId="WW8Num18z0">
    <w:name w:val="WW8Num18z0"/>
    <w:rPr>
      <w:rFonts w:cs="Verdana"/>
      <w:sz w:val="22"/>
      <w:szCs w:val="22"/>
    </w:rPr>
  </w:style>
  <w:style w:type="character" w:customStyle="1" w:styleId="WW8Num19z0">
    <w:name w:val="WW8Num19z0"/>
    <w:rPr>
      <w:rFonts w:cs="Verdana"/>
      <w:sz w:val="22"/>
      <w:szCs w:val="22"/>
    </w:rPr>
  </w:style>
  <w:style w:type="character" w:customStyle="1" w:styleId="WW8Num19z2">
    <w:name w:val="WW8Num19z2"/>
    <w:rPr>
      <w:rFonts w:ascii="Verdana" w:hAnsi="Verdana" w:cs="Verdana" w:hint="default"/>
      <w:b w:val="0"/>
      <w:i w:val="0"/>
      <w:sz w:val="22"/>
    </w:rPr>
  </w:style>
  <w:style w:type="character" w:customStyle="1" w:styleId="WW8Num20z0">
    <w:name w:val="WW8Num20z0"/>
    <w:rPr>
      <w:b w:val="0"/>
    </w:rPr>
  </w:style>
  <w:style w:type="character" w:customStyle="1" w:styleId="WW8Num21z0">
    <w:name w:val="WW8Num21z0"/>
    <w:rPr>
      <w:b w:val="0"/>
    </w:rPr>
  </w:style>
  <w:style w:type="character" w:customStyle="1" w:styleId="WW8Num22z0">
    <w:name w:val="WW8Num22z0"/>
    <w:rPr>
      <w:rFonts w:ascii="Verdana" w:hAnsi="Verdana" w:cs="Verdana" w:hint="default"/>
      <w:b/>
      <w:bCs/>
      <w:sz w:val="22"/>
      <w:szCs w:val="22"/>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22z1">
    <w:name w:val="WW8Num22z1"/>
    <w:rPr>
      <w:rFonts w:hint="default"/>
    </w:rPr>
  </w:style>
  <w:style w:type="character" w:customStyle="1" w:styleId="WW8Num23z0">
    <w:name w:val="WW8Num23z0"/>
    <w:rPr>
      <w:b/>
      <w:bCs/>
      <w:sz w:val="22"/>
      <w:szCs w:val="22"/>
    </w:rPr>
  </w:style>
  <w:style w:type="character" w:customStyle="1" w:styleId="WW8Num24z0">
    <w:name w:val="WW8Num24z0"/>
    <w:rPr>
      <w:rFonts w:cs="Verdana"/>
      <w:sz w:val="22"/>
      <w:szCs w:val="22"/>
    </w:rPr>
  </w:style>
  <w:style w:type="character" w:customStyle="1" w:styleId="WW8Num24z2">
    <w:name w:val="WW8Num24z2"/>
    <w:rPr>
      <w:rFonts w:ascii="Verdana" w:hAnsi="Verdana" w:cs="Verdana" w:hint="default"/>
      <w:b w:val="0"/>
      <w:i w:val="0"/>
      <w:sz w:val="22"/>
    </w:rPr>
  </w:style>
  <w:style w:type="character" w:customStyle="1" w:styleId="WW8Num25z0">
    <w:name w:val="WW8Num25z0"/>
    <w:rPr>
      <w:b/>
      <w:bCs/>
    </w:rPr>
  </w:style>
  <w:style w:type="character" w:customStyle="1" w:styleId="WW8Num26z0">
    <w:name w:val="WW8Num26z0"/>
    <w:rPr>
      <w:b/>
      <w:bCs/>
      <w:sz w:val="22"/>
      <w:szCs w:val="22"/>
    </w:rPr>
  </w:style>
  <w:style w:type="character" w:customStyle="1" w:styleId="WW8Num27z0">
    <w:name w:val="WW8Num27z0"/>
    <w:rPr>
      <w:rFonts w:cs="Verdana"/>
      <w:sz w:val="22"/>
      <w:szCs w:val="22"/>
    </w:rPr>
  </w:style>
  <w:style w:type="character" w:customStyle="1" w:styleId="WW8Num28z0">
    <w:name w:val="WW8Num28z0"/>
    <w:rPr>
      <w:b/>
      <w:bCs/>
      <w:sz w:val="22"/>
      <w:szCs w:val="18"/>
    </w:rPr>
  </w:style>
  <w:style w:type="character" w:customStyle="1" w:styleId="WW8Num29z0">
    <w:name w:val="WW8Num29z0"/>
    <w:rPr>
      <w:b w:val="0"/>
    </w:rPr>
  </w:style>
  <w:style w:type="character" w:customStyle="1" w:styleId="WW8Num30z0">
    <w:name w:val="WW8Num30z0"/>
    <w:rPr>
      <w:b/>
      <w:bCs/>
      <w:sz w:val="22"/>
      <w:szCs w:val="22"/>
    </w:rPr>
  </w:style>
  <w:style w:type="character" w:customStyle="1" w:styleId="WW8Num31z0">
    <w:name w:val="WW8Num31z0"/>
    <w:rPr>
      <w:rFonts w:cs="Arial Unicode MS"/>
      <w:caps w:val="0"/>
      <w:smallCaps w:val="0"/>
      <w:strike w:val="0"/>
      <w:dstrike w:val="0"/>
      <w:color w:val="000000"/>
      <w:spacing w:val="0"/>
      <w:w w:val="100"/>
      <w:kern w:val="0"/>
      <w:position w:val="0"/>
      <w:sz w:val="22"/>
      <w:szCs w:val="22"/>
      <w:vertAlign w:val="baseline"/>
    </w:rPr>
  </w:style>
  <w:style w:type="character" w:customStyle="1" w:styleId="WW8Num31z1">
    <w:name w:val="WW8Num31z1"/>
    <w:rPr>
      <w:rFonts w:ascii="Verdana" w:hAnsi="Verdana" w:cs="Verdana"/>
      <w:caps w:val="0"/>
      <w:smallCaps w:val="0"/>
      <w:strike w:val="0"/>
      <w:dstrike w:val="0"/>
      <w:color w:val="000000"/>
      <w:spacing w:val="0"/>
      <w:w w:val="100"/>
      <w:kern w:val="0"/>
      <w:position w:val="0"/>
      <w:sz w:val="22"/>
      <w:szCs w:val="22"/>
      <w:vertAlign w:val="baseline"/>
    </w:rPr>
  </w:style>
  <w:style w:type="character" w:customStyle="1" w:styleId="WW8Num32z0">
    <w:name w:val="WW8Num32z0"/>
    <w:rPr>
      <w:rFonts w:cs="Verdana"/>
      <w:sz w:val="22"/>
      <w:szCs w:val="22"/>
    </w:rPr>
  </w:style>
  <w:style w:type="character" w:customStyle="1" w:styleId="WW8Num33z0">
    <w:name w:val="WW8Num33z0"/>
    <w:rPr>
      <w:rFonts w:cs="Verdana"/>
      <w:sz w:val="22"/>
      <w:szCs w:val="22"/>
    </w:rPr>
  </w:style>
  <w:style w:type="character" w:customStyle="1" w:styleId="WW8Num35z0">
    <w:name w:val="WW8Num35z0"/>
    <w:rPr>
      <w:rFonts w:ascii="Verdana" w:hAnsi="Verdana" w:cs="Verdana"/>
      <w:b w:val="0"/>
      <w:i w:val="0"/>
      <w:sz w:val="22"/>
    </w:rPr>
  </w:style>
  <w:style w:type="character" w:customStyle="1" w:styleId="WW8Num36z0">
    <w:name w:val="WW8Num36z0"/>
    <w:rPr>
      <w:rFonts w:cs="Verdana"/>
      <w:sz w:val="22"/>
      <w:szCs w:val="22"/>
    </w:rPr>
  </w:style>
  <w:style w:type="character" w:customStyle="1" w:styleId="WW8Num38z0">
    <w:name w:val="WW8Num38z0"/>
    <w:rPr>
      <w:rFonts w:ascii="Verdana" w:eastAsia="Times New Roman" w:hAnsi="Verdana" w:cs="Verdana"/>
      <w:b w:val="0"/>
      <w:bCs/>
      <w:sz w:val="22"/>
      <w:szCs w:val="22"/>
    </w:rPr>
  </w:style>
  <w:style w:type="character" w:customStyle="1" w:styleId="Domylnaczcionkaakapitu1">
    <w:name w:val="Domyślna czcionka akapitu1"/>
  </w:style>
  <w:style w:type="character" w:customStyle="1" w:styleId="ListLabel10">
    <w:name w:val="ListLabel 10"/>
    <w:rPr>
      <w:b/>
      <w:bCs/>
      <w:sz w:val="22"/>
      <w:szCs w:val="22"/>
    </w:rPr>
  </w:style>
  <w:style w:type="character" w:customStyle="1" w:styleId="ListLabel1">
    <w:name w:val="ListLabel 1"/>
    <w:rPr>
      <w:rFonts w:cs="Arial Unicode MS"/>
      <w:caps w:val="0"/>
      <w:smallCaps w:val="0"/>
      <w:strike w:val="0"/>
      <w:dstrike w:val="0"/>
      <w:color w:val="000000"/>
      <w:spacing w:val="0"/>
      <w:w w:val="100"/>
      <w:kern w:val="0"/>
      <w:position w:val="0"/>
      <w:sz w:val="22"/>
      <w:szCs w:val="22"/>
      <w:vertAlign w:val="baseline"/>
    </w:rPr>
  </w:style>
  <w:style w:type="character" w:customStyle="1" w:styleId="ListLabel2">
    <w:name w:val="ListLabel 2"/>
    <w:rPr>
      <w:rFonts w:cs="Arial Unicode MS"/>
      <w:caps w:val="0"/>
      <w:smallCaps w:val="0"/>
      <w:strike w:val="0"/>
      <w:dstrike w:val="0"/>
      <w:color w:val="000000"/>
      <w:spacing w:val="0"/>
      <w:w w:val="100"/>
      <w:kern w:val="0"/>
      <w:position w:val="0"/>
      <w:sz w:val="22"/>
      <w:szCs w:val="22"/>
      <w:vertAlign w:val="baseline"/>
    </w:rPr>
  </w:style>
  <w:style w:type="character" w:customStyle="1" w:styleId="ListLabel3">
    <w:name w:val="ListLabel 3"/>
    <w:rPr>
      <w:rFonts w:cs="Arial Unicode MS"/>
      <w:caps w:val="0"/>
      <w:smallCaps w:val="0"/>
      <w:strike w:val="0"/>
      <w:dstrike w:val="0"/>
      <w:color w:val="000000"/>
      <w:spacing w:val="0"/>
      <w:w w:val="100"/>
      <w:kern w:val="0"/>
      <w:position w:val="0"/>
      <w:sz w:val="22"/>
      <w:szCs w:val="22"/>
      <w:vertAlign w:val="baseline"/>
    </w:rPr>
  </w:style>
  <w:style w:type="character" w:customStyle="1" w:styleId="ListLabel4">
    <w:name w:val="ListLabel 4"/>
    <w:rPr>
      <w:rFonts w:cs="Arial Unicode MS"/>
      <w:caps w:val="0"/>
      <w:smallCaps w:val="0"/>
      <w:strike w:val="0"/>
      <w:dstrike w:val="0"/>
      <w:color w:val="000000"/>
      <w:spacing w:val="0"/>
      <w:w w:val="100"/>
      <w:kern w:val="0"/>
      <w:position w:val="0"/>
      <w:sz w:val="22"/>
      <w:szCs w:val="22"/>
      <w:vertAlign w:val="baseline"/>
    </w:rPr>
  </w:style>
  <w:style w:type="character" w:customStyle="1" w:styleId="ListLabel5">
    <w:name w:val="ListLabel 5"/>
    <w:rPr>
      <w:rFonts w:cs="Arial Unicode MS"/>
      <w:caps w:val="0"/>
      <w:smallCaps w:val="0"/>
      <w:strike w:val="0"/>
      <w:dstrike w:val="0"/>
      <w:color w:val="000000"/>
      <w:spacing w:val="0"/>
      <w:w w:val="100"/>
      <w:kern w:val="0"/>
      <w:position w:val="0"/>
      <w:sz w:val="22"/>
      <w:szCs w:val="22"/>
      <w:vertAlign w:val="baseline"/>
    </w:rPr>
  </w:style>
  <w:style w:type="character" w:customStyle="1" w:styleId="ListLabel6">
    <w:name w:val="ListLabel 6"/>
    <w:rPr>
      <w:rFonts w:cs="Arial Unicode MS"/>
      <w:caps w:val="0"/>
      <w:smallCaps w:val="0"/>
      <w:strike w:val="0"/>
      <w:dstrike w:val="0"/>
      <w:color w:val="000000"/>
      <w:spacing w:val="0"/>
      <w:w w:val="100"/>
      <w:kern w:val="0"/>
      <w:position w:val="0"/>
      <w:sz w:val="22"/>
      <w:szCs w:val="22"/>
      <w:vertAlign w:val="baseline"/>
    </w:rPr>
  </w:style>
  <w:style w:type="character" w:customStyle="1" w:styleId="ListLabel7">
    <w:name w:val="ListLabel 7"/>
    <w:rPr>
      <w:rFonts w:cs="Arial Unicode MS"/>
      <w:caps w:val="0"/>
      <w:smallCaps w:val="0"/>
      <w:strike w:val="0"/>
      <w:dstrike w:val="0"/>
      <w:color w:val="000000"/>
      <w:spacing w:val="0"/>
      <w:w w:val="100"/>
      <w:kern w:val="0"/>
      <w:position w:val="0"/>
      <w:sz w:val="22"/>
      <w:szCs w:val="22"/>
      <w:vertAlign w:val="baseline"/>
    </w:rPr>
  </w:style>
  <w:style w:type="character" w:customStyle="1" w:styleId="ListLabel8">
    <w:name w:val="ListLabel 8"/>
    <w:rPr>
      <w:rFonts w:cs="Arial Unicode MS"/>
      <w:caps w:val="0"/>
      <w:smallCaps w:val="0"/>
      <w:strike w:val="0"/>
      <w:dstrike w:val="0"/>
      <w:color w:val="000000"/>
      <w:spacing w:val="0"/>
      <w:w w:val="100"/>
      <w:kern w:val="0"/>
      <w:position w:val="0"/>
      <w:sz w:val="22"/>
      <w:szCs w:val="22"/>
      <w:vertAlign w:val="baseline"/>
    </w:rPr>
  </w:style>
  <w:style w:type="character" w:customStyle="1" w:styleId="ListLabel9">
    <w:name w:val="ListLabel 9"/>
    <w:rPr>
      <w:rFonts w:cs="Arial Unicode MS"/>
      <w:caps w:val="0"/>
      <w:smallCaps w:val="0"/>
      <w:strike w:val="0"/>
      <w:dstrike w:val="0"/>
      <w:color w:val="000000"/>
      <w:spacing w:val="0"/>
      <w:w w:val="100"/>
      <w:kern w:val="0"/>
      <w:position w:val="0"/>
      <w:sz w:val="22"/>
      <w:szCs w:val="22"/>
      <w:vertAlign w:val="baseline"/>
    </w:rPr>
  </w:style>
  <w:style w:type="character" w:customStyle="1" w:styleId="ListLabel11">
    <w:name w:val="ListLabel 11"/>
    <w:rPr>
      <w:rFonts w:cs="Verdana"/>
      <w:sz w:val="22"/>
      <w:szCs w:val="22"/>
    </w:rPr>
  </w:style>
  <w:style w:type="character" w:customStyle="1" w:styleId="ListLabel25">
    <w:name w:val="ListLabel 25"/>
    <w:rPr>
      <w:rFonts w:cs="Verdana"/>
      <w:sz w:val="22"/>
      <w:szCs w:val="22"/>
    </w:rPr>
  </w:style>
  <w:style w:type="character" w:customStyle="1" w:styleId="ListLabel12">
    <w:name w:val="ListLabel 12"/>
    <w:rPr>
      <w:rFonts w:cs="Verdana"/>
      <w:sz w:val="22"/>
      <w:szCs w:val="22"/>
    </w:rPr>
  </w:style>
  <w:style w:type="character" w:customStyle="1" w:styleId="ListLabel26">
    <w:name w:val="ListLabel 26"/>
    <w:rPr>
      <w:rFonts w:cs="Verdana"/>
      <w:sz w:val="22"/>
      <w:szCs w:val="22"/>
    </w:rPr>
  </w:style>
  <w:style w:type="character" w:customStyle="1" w:styleId="ListLabel13">
    <w:name w:val="ListLabel 13"/>
    <w:rPr>
      <w:rFonts w:cs="Verdana"/>
      <w:sz w:val="22"/>
      <w:szCs w:val="22"/>
    </w:rPr>
  </w:style>
  <w:style w:type="character" w:customStyle="1" w:styleId="ListLabel14">
    <w:name w:val="ListLabel 14"/>
    <w:rPr>
      <w:rFonts w:cs="Verdana"/>
      <w:sz w:val="22"/>
      <w:szCs w:val="22"/>
    </w:rPr>
  </w:style>
  <w:style w:type="character" w:customStyle="1" w:styleId="ListLabel27">
    <w:name w:val="ListLabel 27"/>
    <w:rPr>
      <w:rFonts w:cs="Verdana"/>
      <w:sz w:val="22"/>
      <w:szCs w:val="22"/>
    </w:rPr>
  </w:style>
  <w:style w:type="character" w:customStyle="1" w:styleId="ListLabel15">
    <w:name w:val="ListLabel 15"/>
    <w:rPr>
      <w:rFonts w:cs="Verdana"/>
      <w:sz w:val="22"/>
      <w:szCs w:val="22"/>
    </w:rPr>
  </w:style>
  <w:style w:type="character" w:customStyle="1" w:styleId="ListLabel28">
    <w:name w:val="ListLabel 28"/>
    <w:rPr>
      <w:rFonts w:cs="Verdana"/>
      <w:sz w:val="22"/>
      <w:szCs w:val="22"/>
    </w:rPr>
  </w:style>
  <w:style w:type="character" w:customStyle="1" w:styleId="ListLabel16">
    <w:name w:val="ListLabel 16"/>
    <w:rPr>
      <w:b/>
      <w:bCs/>
    </w:rPr>
  </w:style>
  <w:style w:type="character" w:customStyle="1" w:styleId="ListLabel17">
    <w:name w:val="ListLabel 17"/>
    <w:rPr>
      <w:b/>
      <w:bCs/>
      <w:sz w:val="22"/>
      <w:szCs w:val="22"/>
    </w:rPr>
  </w:style>
  <w:style w:type="character" w:customStyle="1" w:styleId="ListLabel18">
    <w:name w:val="ListLabel 18"/>
    <w:rPr>
      <w:b/>
      <w:bCs/>
      <w:sz w:val="22"/>
      <w:szCs w:val="18"/>
    </w:rPr>
  </w:style>
  <w:style w:type="character" w:customStyle="1" w:styleId="ListLabel19">
    <w:name w:val="ListLabel 19"/>
    <w:rPr>
      <w:b/>
      <w:bCs/>
      <w:sz w:val="22"/>
      <w:szCs w:val="22"/>
    </w:rPr>
  </w:style>
  <w:style w:type="character" w:customStyle="1" w:styleId="ListLabel20">
    <w:name w:val="ListLabel 20"/>
    <w:rPr>
      <w:b/>
      <w:bCs/>
      <w:sz w:val="22"/>
      <w:szCs w:val="22"/>
    </w:rPr>
  </w:style>
  <w:style w:type="character" w:customStyle="1" w:styleId="Internetlink">
    <w:name w:val="Internet link"/>
    <w:rPr>
      <w:color w:val="0563C1"/>
      <w:u w:val="single"/>
    </w:rPr>
  </w:style>
  <w:style w:type="character" w:customStyle="1" w:styleId="Brak">
    <w:name w:val="Brak"/>
  </w:style>
  <w:style w:type="character" w:customStyle="1" w:styleId="TekstprzypisukocowegoZnak">
    <w:name w:val="Tekst przypisu końcowego Znak"/>
    <w:rPr>
      <w:rFonts w:cs="Mangal"/>
      <w:sz w:val="20"/>
      <w:szCs w:val="18"/>
    </w:rPr>
  </w:style>
  <w:style w:type="character" w:customStyle="1" w:styleId="Znakiprzypiswkocowych">
    <w:name w:val="Znaki przypisów końcowych"/>
    <w:rPr>
      <w:vertAlign w:val="superscript"/>
    </w:rPr>
  </w:style>
  <w:style w:type="character" w:customStyle="1" w:styleId="Odwoanieprzypisukocowego1">
    <w:name w:val="Odwołanie przypisu końcowego1"/>
    <w:rPr>
      <w:vertAlign w:val="superscript"/>
    </w:rPr>
  </w:style>
  <w:style w:type="paragraph" w:customStyle="1" w:styleId="Nagwek2">
    <w:name w:val="Nagłówek2"/>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xtbody"/>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Nagwek1">
    <w:name w:val="Nagłówek1"/>
    <w:basedOn w:val="Normalny"/>
    <w:next w:val="Tekstpodstawowy"/>
    <w:pPr>
      <w:keepNext/>
      <w:spacing w:before="240" w:after="120"/>
    </w:pPr>
    <w:rPr>
      <w:rFonts w:ascii="Liberation Sans" w:eastAsia="Microsoft YaHei" w:hAnsi="Liberation Sans" w:cs="Lucida Sans"/>
      <w:sz w:val="28"/>
      <w:szCs w:val="28"/>
    </w:rPr>
  </w:style>
  <w:style w:type="paragraph" w:customStyle="1" w:styleId="Standard">
    <w:name w:val="Standard"/>
    <w:pPr>
      <w:suppressAutoHyphens/>
      <w:textAlignment w:val="baseline"/>
    </w:pPr>
    <w:rPr>
      <w:rFonts w:ascii="Liberation Serif" w:eastAsia="NSimSun" w:hAnsi="Liberation Serif" w:cs="Lucida Sans"/>
      <w:kern w:val="2"/>
      <w:sz w:val="24"/>
      <w:szCs w:val="24"/>
      <w:lang w:eastAsia="zh-CN" w:bidi="hi-IN"/>
    </w:rPr>
  </w:style>
  <w:style w:type="paragraph" w:customStyle="1" w:styleId="Textbody">
    <w:name w:val="Text body"/>
    <w:basedOn w:val="Standard"/>
    <w:pPr>
      <w:spacing w:after="140" w:line="276" w:lineRule="auto"/>
    </w:pPr>
  </w:style>
  <w:style w:type="paragraph" w:customStyle="1" w:styleId="Legenda2">
    <w:name w:val="Legenda2"/>
    <w:basedOn w:val="Normalny"/>
    <w:pPr>
      <w:suppressLineNumbers/>
      <w:spacing w:before="120" w:after="120"/>
    </w:pPr>
    <w:rPr>
      <w:rFonts w:cs="Lucida Sans"/>
      <w:i/>
      <w:iCs/>
      <w:sz w:val="24"/>
      <w:szCs w:val="24"/>
    </w:r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Legenda1">
    <w:name w:val="Legenda1"/>
    <w:basedOn w:val="Standard"/>
    <w:pPr>
      <w:suppressLineNumbers/>
      <w:spacing w:before="120" w:after="120"/>
    </w:pPr>
    <w:rPr>
      <w:i/>
      <w:iCs/>
    </w:rPr>
  </w:style>
  <w:style w:type="paragraph" w:customStyle="1" w:styleId="Index">
    <w:name w:val="Index"/>
    <w:basedOn w:val="Standard"/>
    <w:pPr>
      <w:suppressLineNumbers/>
    </w:pPr>
  </w:style>
  <w:style w:type="paragraph" w:styleId="Tekstprzypisukocowego">
    <w:name w:val="endnote text"/>
    <w:basedOn w:val="Normalny"/>
    <w:rPr>
      <w:rFonts w:cs="Mangal"/>
      <w:sz w:val="20"/>
      <w:szCs w:val="18"/>
    </w:rPr>
  </w:style>
  <w:style w:type="paragraph" w:customStyle="1" w:styleId="Standarduser">
    <w:name w:val="Standard (user)"/>
    <w:pPr>
      <w:widowControl w:val="0"/>
      <w:suppressAutoHyphens/>
      <w:textAlignment w:val="baseline"/>
    </w:pPr>
    <w:rPr>
      <w:rFonts w:eastAsia="Arial Unicode MS" w:cs="Tahoma"/>
      <w:kern w:val="2"/>
      <w:sz w:val="24"/>
      <w:szCs w:val="24"/>
      <w:lang w:eastAsia="zh-CN" w:bidi="pl-PL"/>
    </w:rPr>
  </w:style>
  <w:style w:type="paragraph" w:customStyle="1" w:styleId="Textbodyindent1">
    <w:name w:val="Text body indent1"/>
    <w:basedOn w:val="Standard"/>
    <w:qFormat/>
    <w:rsid w:val="002C4253"/>
    <w:pPr>
      <w:widowControl w:val="0"/>
      <w:ind w:left="426" w:hanging="426"/>
      <w:jc w:val="both"/>
    </w:pPr>
    <w:rPr>
      <w:rFonts w:ascii="Times New Roman" w:eastAsia="Arial Unicode MS" w:hAnsi="Times New Roman" w:cs="Tahoma"/>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2987</Words>
  <Characters>17924</Characters>
  <Application>Microsoft Office Word</Application>
  <DocSecurity>4</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BartekL</dc:creator>
  <cp:keywords/>
  <cp:lastModifiedBy>Kamila  Złotnik</cp:lastModifiedBy>
  <cp:revision>2</cp:revision>
  <cp:lastPrinted>2025-01-27T09:52:00Z</cp:lastPrinted>
  <dcterms:created xsi:type="dcterms:W3CDTF">2025-01-30T15:13:00Z</dcterms:created>
  <dcterms:modified xsi:type="dcterms:W3CDTF">2025-01-30T15:13:00Z</dcterms:modified>
</cp:coreProperties>
</file>